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C73B0" w14:textId="3FC16E5E" w:rsidR="003A0AE1" w:rsidRPr="00CB6003" w:rsidRDefault="00CB6003" w:rsidP="00DF124A">
      <w:pPr>
        <w:pStyle w:val="Ttulo1"/>
        <w:shd w:val="clear" w:color="auto" w:fill="FFFFFF"/>
        <w:spacing w:before="0" w:beforeAutospacing="0" w:after="0" w:afterAutospacing="0" w:line="432" w:lineRule="atLeast"/>
        <w:jc w:val="center"/>
        <w:textAlignment w:val="baseline"/>
        <w:rPr>
          <w:rFonts w:asciiTheme="minorHAnsi" w:hAnsiTheme="minorHAnsi" w:cstheme="minorHAnsi"/>
          <w:bCs w:val="0"/>
          <w:i/>
          <w:color w:val="212125"/>
          <w:sz w:val="44"/>
          <w:szCs w:val="44"/>
          <w:lang w:val="en-US"/>
        </w:rPr>
      </w:pPr>
      <w:r w:rsidRPr="00CB6003">
        <w:rPr>
          <w:rFonts w:asciiTheme="minorHAnsi" w:hAnsiTheme="minorHAnsi" w:cstheme="minorHAnsi"/>
          <w:bCs w:val="0"/>
          <w:i/>
          <w:color w:val="212125"/>
          <w:sz w:val="44"/>
          <w:szCs w:val="44"/>
          <w:lang w:val="en-US"/>
        </w:rPr>
        <w:t>The Mauna Loa Observatory interrupts its observations due to the volcanic eruption, but the atmospheric CO</w:t>
      </w:r>
      <w:r w:rsidRPr="00CB6003">
        <w:rPr>
          <w:rFonts w:asciiTheme="minorHAnsi" w:hAnsiTheme="minorHAnsi" w:cstheme="minorHAnsi"/>
          <w:bCs w:val="0"/>
          <w:i/>
          <w:color w:val="212125"/>
          <w:sz w:val="44"/>
          <w:szCs w:val="44"/>
          <w:vertAlign w:val="subscript"/>
          <w:lang w:val="en-US"/>
        </w:rPr>
        <w:t>2</w:t>
      </w:r>
      <w:r w:rsidRPr="00CB6003">
        <w:rPr>
          <w:rFonts w:asciiTheme="minorHAnsi" w:hAnsiTheme="minorHAnsi" w:cstheme="minorHAnsi"/>
          <w:bCs w:val="0"/>
          <w:i/>
          <w:color w:val="212125"/>
          <w:sz w:val="44"/>
          <w:szCs w:val="44"/>
          <w:lang w:val="en-US"/>
        </w:rPr>
        <w:t xml:space="preserve"> monitoring </w:t>
      </w:r>
      <w:r w:rsidR="001B011E">
        <w:rPr>
          <w:rFonts w:asciiTheme="minorHAnsi" w:hAnsiTheme="minorHAnsi" w:cstheme="minorHAnsi"/>
          <w:bCs w:val="0"/>
          <w:i/>
          <w:color w:val="212125"/>
          <w:sz w:val="44"/>
          <w:szCs w:val="44"/>
          <w:lang w:val="en-US"/>
        </w:rPr>
        <w:t>at global scale goes on</w:t>
      </w:r>
    </w:p>
    <w:p w14:paraId="355EA21D" w14:textId="77777777" w:rsidR="00BF4502" w:rsidRPr="00CB6003" w:rsidRDefault="00BF4502" w:rsidP="0065544A">
      <w:pPr>
        <w:pStyle w:val="Ttulo1"/>
        <w:shd w:val="clear" w:color="auto" w:fill="FFFFFF"/>
        <w:spacing w:before="0" w:beforeAutospacing="0" w:after="0" w:afterAutospacing="0" w:line="432" w:lineRule="atLeast"/>
        <w:jc w:val="center"/>
        <w:textAlignment w:val="baseline"/>
        <w:rPr>
          <w:rFonts w:asciiTheme="minorHAnsi" w:hAnsiTheme="minorHAnsi" w:cstheme="minorHAnsi"/>
          <w:bCs w:val="0"/>
          <w:i/>
          <w:color w:val="212125"/>
          <w:sz w:val="32"/>
          <w:szCs w:val="32"/>
          <w:lang w:val="en-US"/>
        </w:rPr>
      </w:pPr>
    </w:p>
    <w:p w14:paraId="4FB6B93C" w14:textId="235E1666" w:rsidR="00DC2039" w:rsidRPr="00787786" w:rsidRDefault="00DC2039" w:rsidP="00DC2039">
      <w:pPr>
        <w:pStyle w:val="NormalWeb"/>
        <w:shd w:val="clear" w:color="auto" w:fill="FFFFFF"/>
        <w:spacing w:before="0" w:beforeAutospacing="0" w:after="0" w:afterAutospacing="0"/>
        <w:jc w:val="center"/>
        <w:rPr>
          <w:rFonts w:asciiTheme="minorHAnsi" w:eastAsiaTheme="minorHAnsi" w:hAnsiTheme="minorHAnsi" w:cstheme="minorBidi"/>
          <w:sz w:val="22"/>
          <w:szCs w:val="22"/>
          <w:lang w:eastAsia="en-US"/>
        </w:rPr>
      </w:pPr>
      <w:r w:rsidRPr="00787786">
        <w:rPr>
          <w:rFonts w:asciiTheme="minorHAnsi" w:eastAsiaTheme="minorHAnsi" w:hAnsiTheme="minorHAnsi" w:cstheme="minorBidi"/>
          <w:i/>
          <w:iCs/>
          <w:sz w:val="22"/>
          <w:szCs w:val="22"/>
          <w:vertAlign w:val="superscript"/>
          <w:lang w:eastAsia="en-US"/>
        </w:rPr>
        <w:t>1</w:t>
      </w:r>
      <w:r w:rsidRPr="00787786">
        <w:rPr>
          <w:rFonts w:asciiTheme="minorHAnsi" w:eastAsiaTheme="minorHAnsi" w:hAnsiTheme="minorHAnsi" w:cstheme="minorBidi"/>
          <w:i/>
          <w:iCs/>
          <w:lang w:eastAsia="en-US"/>
        </w:rPr>
        <w:t>E. Cuevas,</w:t>
      </w:r>
      <w:r w:rsidR="00E75EE8">
        <w:rPr>
          <w:rFonts w:asciiTheme="minorHAnsi" w:eastAsiaTheme="minorHAnsi" w:hAnsiTheme="minorHAnsi" w:cstheme="minorBidi"/>
          <w:i/>
          <w:iCs/>
          <w:lang w:eastAsia="en-US"/>
        </w:rPr>
        <w:t xml:space="preserve"> </w:t>
      </w:r>
      <w:r w:rsidRPr="00787786">
        <w:rPr>
          <w:rFonts w:asciiTheme="minorHAnsi" w:eastAsiaTheme="minorHAnsi" w:hAnsiTheme="minorHAnsi" w:cstheme="minorBidi"/>
          <w:i/>
          <w:iCs/>
          <w:sz w:val="22"/>
          <w:szCs w:val="22"/>
          <w:vertAlign w:val="superscript"/>
          <w:lang w:eastAsia="en-US"/>
        </w:rPr>
        <w:t>1</w:t>
      </w:r>
      <w:r w:rsidRPr="00787786">
        <w:rPr>
          <w:rFonts w:asciiTheme="minorHAnsi" w:eastAsiaTheme="minorHAnsi" w:hAnsiTheme="minorHAnsi" w:cstheme="minorBidi"/>
          <w:i/>
          <w:iCs/>
          <w:lang w:eastAsia="en-US"/>
        </w:rPr>
        <w:t>P.P. Rivas</w:t>
      </w:r>
      <w:r w:rsidR="00D843F8">
        <w:rPr>
          <w:rFonts w:asciiTheme="minorHAnsi" w:eastAsiaTheme="minorHAnsi" w:hAnsiTheme="minorHAnsi" w:cstheme="minorBidi"/>
          <w:i/>
          <w:iCs/>
          <w:lang w:eastAsia="en-US"/>
        </w:rPr>
        <w:t>,</w:t>
      </w:r>
      <w:r w:rsidRPr="00787786">
        <w:rPr>
          <w:rFonts w:asciiTheme="minorHAnsi" w:eastAsiaTheme="minorHAnsi" w:hAnsiTheme="minorHAnsi" w:cstheme="minorBidi"/>
          <w:i/>
          <w:iCs/>
          <w:lang w:eastAsia="en-US"/>
        </w:rPr>
        <w:t xml:space="preserve"> </w:t>
      </w:r>
      <w:r w:rsidR="00D843F8" w:rsidRPr="0013601F">
        <w:rPr>
          <w:rFonts w:asciiTheme="minorHAnsi" w:eastAsiaTheme="minorHAnsi" w:hAnsiTheme="minorHAnsi" w:cstheme="minorBidi"/>
          <w:i/>
          <w:iCs/>
          <w:vertAlign w:val="superscript"/>
          <w:lang w:eastAsia="en-US"/>
        </w:rPr>
        <w:t>1</w:t>
      </w:r>
      <w:r w:rsidR="00D843F8" w:rsidRPr="0013601F">
        <w:rPr>
          <w:rFonts w:asciiTheme="minorHAnsi" w:eastAsiaTheme="minorHAnsi" w:hAnsiTheme="minorHAnsi" w:cstheme="minorBidi"/>
          <w:i/>
          <w:iCs/>
          <w:lang w:eastAsia="en-US"/>
        </w:rPr>
        <w:t>O.E. García,</w:t>
      </w:r>
      <w:r w:rsidR="00D843F8">
        <w:rPr>
          <w:rFonts w:asciiTheme="minorHAnsi" w:eastAsiaTheme="minorHAnsi" w:hAnsiTheme="minorHAnsi" w:cstheme="minorBidi"/>
          <w:i/>
          <w:iCs/>
          <w:lang w:eastAsia="en-US"/>
        </w:rPr>
        <w:t xml:space="preserve"> </w:t>
      </w:r>
      <w:r w:rsidR="00D843F8" w:rsidRPr="0013601F">
        <w:rPr>
          <w:rFonts w:asciiTheme="minorHAnsi" w:eastAsiaTheme="minorHAnsi" w:hAnsiTheme="minorHAnsi" w:cstheme="minorBidi"/>
          <w:i/>
          <w:iCs/>
          <w:vertAlign w:val="superscript"/>
          <w:lang w:eastAsia="en-US"/>
        </w:rPr>
        <w:t>1</w:t>
      </w:r>
      <w:r w:rsidR="00D843F8">
        <w:rPr>
          <w:rFonts w:asciiTheme="minorHAnsi" w:eastAsiaTheme="minorHAnsi" w:hAnsiTheme="minorHAnsi" w:cstheme="minorBidi"/>
          <w:i/>
          <w:iCs/>
          <w:lang w:eastAsia="en-US"/>
        </w:rPr>
        <w:t xml:space="preserve">R. Ramos </w:t>
      </w:r>
      <w:r w:rsidRPr="00787786">
        <w:rPr>
          <w:rFonts w:asciiTheme="minorHAnsi" w:eastAsiaTheme="minorHAnsi" w:hAnsiTheme="minorHAnsi" w:cstheme="minorBidi"/>
          <w:i/>
          <w:iCs/>
          <w:lang w:eastAsia="en-US"/>
        </w:rPr>
        <w:t>and</w:t>
      </w:r>
      <w:r w:rsidR="003E6DD6">
        <w:rPr>
          <w:rFonts w:asciiTheme="minorHAnsi" w:eastAsiaTheme="minorHAnsi" w:hAnsiTheme="minorHAnsi" w:cstheme="minorBidi"/>
          <w:i/>
          <w:iCs/>
          <w:lang w:eastAsia="en-US"/>
        </w:rPr>
        <w:t xml:space="preserve"> </w:t>
      </w:r>
      <w:r w:rsidRPr="00787786">
        <w:rPr>
          <w:rFonts w:asciiTheme="minorHAnsi" w:eastAsiaTheme="minorHAnsi" w:hAnsiTheme="minorHAnsi" w:cstheme="minorBidi"/>
          <w:i/>
          <w:iCs/>
          <w:sz w:val="22"/>
          <w:szCs w:val="22"/>
          <w:vertAlign w:val="superscript"/>
          <w:lang w:eastAsia="en-US"/>
        </w:rPr>
        <w:t>2</w:t>
      </w:r>
      <w:r w:rsidRPr="00787786">
        <w:rPr>
          <w:rFonts w:asciiTheme="minorHAnsi" w:eastAsiaTheme="minorHAnsi" w:hAnsiTheme="minorHAnsi" w:cstheme="minorBidi"/>
          <w:i/>
          <w:iCs/>
          <w:lang w:eastAsia="en-US"/>
        </w:rPr>
        <w:t>S.F. León-Luis</w:t>
      </w:r>
    </w:p>
    <w:p w14:paraId="2FED01C6" w14:textId="2CC7C0AF" w:rsidR="00DC2039" w:rsidRPr="00E263B4" w:rsidRDefault="00DC2039" w:rsidP="00DC2039">
      <w:pPr>
        <w:pStyle w:val="NormalWeb"/>
        <w:shd w:val="clear" w:color="auto" w:fill="FFFFFF"/>
        <w:spacing w:before="0" w:beforeAutospacing="0" w:after="0" w:afterAutospacing="0"/>
        <w:jc w:val="center"/>
        <w:rPr>
          <w:rFonts w:asciiTheme="minorHAnsi" w:eastAsiaTheme="minorHAnsi" w:hAnsiTheme="minorHAnsi" w:cstheme="minorBidi"/>
          <w:i/>
          <w:iCs/>
          <w:lang w:val="en-US" w:eastAsia="en-US"/>
        </w:rPr>
      </w:pPr>
      <w:r w:rsidRPr="00E263B4">
        <w:rPr>
          <w:rFonts w:asciiTheme="minorHAnsi" w:eastAsiaTheme="minorHAnsi" w:hAnsiTheme="minorHAnsi" w:cstheme="minorBidi"/>
          <w:i/>
          <w:iCs/>
          <w:vertAlign w:val="superscript"/>
          <w:lang w:val="en-US" w:eastAsia="en-US"/>
        </w:rPr>
        <w:t>1</w:t>
      </w:r>
      <w:r w:rsidR="00CB6003" w:rsidRPr="00E263B4">
        <w:rPr>
          <w:rFonts w:asciiTheme="minorHAnsi" w:eastAsiaTheme="minorHAnsi" w:hAnsiTheme="minorHAnsi" w:cstheme="minorBidi"/>
          <w:i/>
          <w:iCs/>
          <w:lang w:val="en-US" w:eastAsia="en-US"/>
        </w:rPr>
        <w:t>Izaña Atmospheric R</w:t>
      </w:r>
      <w:r w:rsidR="005F1728" w:rsidRPr="00E263B4">
        <w:rPr>
          <w:rFonts w:asciiTheme="minorHAnsi" w:eastAsiaTheme="minorHAnsi" w:hAnsiTheme="minorHAnsi" w:cstheme="minorBidi"/>
          <w:i/>
          <w:iCs/>
          <w:lang w:val="en-US" w:eastAsia="en-US"/>
        </w:rPr>
        <w:t>e</w:t>
      </w:r>
      <w:r w:rsidR="00CB6003" w:rsidRPr="00E263B4">
        <w:rPr>
          <w:rFonts w:asciiTheme="minorHAnsi" w:eastAsiaTheme="minorHAnsi" w:hAnsiTheme="minorHAnsi" w:cstheme="minorBidi"/>
          <w:i/>
          <w:iCs/>
          <w:lang w:val="en-US" w:eastAsia="en-US"/>
        </w:rPr>
        <w:t>search Centre (IARC)</w:t>
      </w:r>
      <w:r w:rsidR="005F1728" w:rsidRPr="00E263B4">
        <w:rPr>
          <w:rFonts w:asciiTheme="minorHAnsi" w:eastAsiaTheme="minorHAnsi" w:hAnsiTheme="minorHAnsi" w:cstheme="minorBidi"/>
          <w:i/>
          <w:iCs/>
          <w:lang w:val="en-US" w:eastAsia="en-US"/>
        </w:rPr>
        <w:t xml:space="preserve">, </w:t>
      </w:r>
      <w:r w:rsidR="00CB6003" w:rsidRPr="00E263B4">
        <w:rPr>
          <w:rFonts w:asciiTheme="minorHAnsi" w:eastAsiaTheme="minorHAnsi" w:hAnsiTheme="minorHAnsi" w:cstheme="minorBidi"/>
          <w:i/>
          <w:iCs/>
          <w:lang w:val="en-US" w:eastAsia="en-US"/>
        </w:rPr>
        <w:t>State Meteor</w:t>
      </w:r>
      <w:r w:rsidR="00E263B4" w:rsidRPr="00E263B4">
        <w:rPr>
          <w:rFonts w:asciiTheme="minorHAnsi" w:eastAsiaTheme="minorHAnsi" w:hAnsiTheme="minorHAnsi" w:cstheme="minorBidi"/>
          <w:i/>
          <w:iCs/>
          <w:lang w:val="en-US" w:eastAsia="en-US"/>
        </w:rPr>
        <w:t>ological Agenc</w:t>
      </w:r>
      <w:r w:rsidR="00CB6003" w:rsidRPr="00E263B4">
        <w:rPr>
          <w:rFonts w:asciiTheme="minorHAnsi" w:eastAsiaTheme="minorHAnsi" w:hAnsiTheme="minorHAnsi" w:cstheme="minorBidi"/>
          <w:i/>
          <w:iCs/>
          <w:lang w:val="en-US" w:eastAsia="en-US"/>
        </w:rPr>
        <w:t>y of Spain</w:t>
      </w:r>
      <w:r w:rsidR="005F1728" w:rsidRPr="00E263B4">
        <w:rPr>
          <w:rFonts w:asciiTheme="minorHAnsi" w:eastAsiaTheme="minorHAnsi" w:hAnsiTheme="minorHAnsi" w:cstheme="minorBidi"/>
          <w:i/>
          <w:iCs/>
          <w:lang w:val="en-US" w:eastAsia="en-US"/>
        </w:rPr>
        <w:t xml:space="preserve"> </w:t>
      </w:r>
      <w:r w:rsidR="00E75EE8" w:rsidRPr="00E263B4">
        <w:rPr>
          <w:rFonts w:asciiTheme="minorHAnsi" w:eastAsiaTheme="minorHAnsi" w:hAnsiTheme="minorHAnsi" w:cstheme="minorBidi"/>
          <w:i/>
          <w:iCs/>
          <w:lang w:val="en-US" w:eastAsia="en-US"/>
        </w:rPr>
        <w:t xml:space="preserve">(AEMET), </w:t>
      </w:r>
      <w:r w:rsidR="00CB6003" w:rsidRPr="00E263B4">
        <w:rPr>
          <w:rFonts w:asciiTheme="minorHAnsi" w:eastAsiaTheme="minorHAnsi" w:hAnsiTheme="minorHAnsi" w:cstheme="minorBidi"/>
          <w:i/>
          <w:iCs/>
          <w:lang w:val="en-US" w:eastAsia="en-US"/>
        </w:rPr>
        <w:t>Spain</w:t>
      </w:r>
    </w:p>
    <w:p w14:paraId="3269CDA4" w14:textId="4C61F6FE" w:rsidR="00DC2039" w:rsidRPr="00CB6003" w:rsidRDefault="00DC2039" w:rsidP="00DC2039">
      <w:pPr>
        <w:pStyle w:val="NormalWeb"/>
        <w:shd w:val="clear" w:color="auto" w:fill="FFFFFF"/>
        <w:spacing w:before="0" w:beforeAutospacing="0" w:after="0" w:afterAutospacing="0"/>
        <w:jc w:val="center"/>
        <w:rPr>
          <w:rFonts w:asciiTheme="minorHAnsi" w:eastAsiaTheme="minorHAnsi" w:hAnsiTheme="minorHAnsi" w:cstheme="minorBidi"/>
          <w:sz w:val="22"/>
          <w:szCs w:val="22"/>
          <w:lang w:val="en-US" w:eastAsia="en-US"/>
        </w:rPr>
      </w:pPr>
      <w:r w:rsidRPr="00CB6003">
        <w:rPr>
          <w:rFonts w:asciiTheme="minorHAnsi" w:eastAsiaTheme="minorHAnsi" w:hAnsiTheme="minorHAnsi" w:cstheme="minorBidi"/>
          <w:i/>
          <w:iCs/>
          <w:sz w:val="22"/>
          <w:szCs w:val="22"/>
          <w:vertAlign w:val="superscript"/>
          <w:lang w:val="en-US" w:eastAsia="en-US"/>
        </w:rPr>
        <w:t>2</w:t>
      </w:r>
      <w:r w:rsidRPr="00CB6003">
        <w:rPr>
          <w:rFonts w:asciiTheme="minorHAnsi" w:eastAsiaTheme="minorHAnsi" w:hAnsiTheme="minorHAnsi" w:cstheme="minorBidi"/>
          <w:i/>
          <w:iCs/>
          <w:lang w:val="en-US" w:eastAsia="en-US"/>
        </w:rPr>
        <w:t xml:space="preserve">TRAGSATEC, </w:t>
      </w:r>
      <w:r w:rsidR="00CB6003" w:rsidRPr="00CB6003">
        <w:rPr>
          <w:rFonts w:asciiTheme="minorHAnsi" w:eastAsiaTheme="minorHAnsi" w:hAnsiTheme="minorHAnsi" w:cstheme="minorBidi"/>
          <w:i/>
          <w:iCs/>
          <w:lang w:val="en-US" w:eastAsia="en-US"/>
        </w:rPr>
        <w:t>Spain</w:t>
      </w:r>
    </w:p>
    <w:p w14:paraId="2002D5B6" w14:textId="7136A5CD" w:rsidR="00DC2039" w:rsidRPr="00CB6003" w:rsidRDefault="00DC2039" w:rsidP="00DC2039">
      <w:pPr>
        <w:pStyle w:val="NormalWeb"/>
        <w:shd w:val="clear" w:color="auto" w:fill="FFFFFF"/>
        <w:spacing w:before="0" w:beforeAutospacing="0" w:after="0" w:afterAutospacing="0"/>
        <w:jc w:val="center"/>
        <w:rPr>
          <w:rFonts w:asciiTheme="minorHAnsi" w:eastAsiaTheme="minorHAnsi" w:hAnsiTheme="minorHAnsi" w:cstheme="minorBidi"/>
          <w:sz w:val="22"/>
          <w:szCs w:val="22"/>
          <w:lang w:val="en-US" w:eastAsia="en-US"/>
        </w:rPr>
      </w:pPr>
      <w:r w:rsidRPr="00CB6003">
        <w:rPr>
          <w:rFonts w:asciiTheme="minorHAnsi" w:eastAsiaTheme="minorHAnsi" w:hAnsiTheme="minorHAnsi" w:cstheme="minorBidi"/>
          <w:i/>
          <w:iCs/>
          <w:lang w:val="en-US" w:eastAsia="en-US"/>
        </w:rPr>
        <w:t>Contact: ecuevasa@aemet.es</w:t>
      </w:r>
    </w:p>
    <w:p w14:paraId="73816D3F" w14:textId="77777777" w:rsidR="00DC2039" w:rsidRPr="00CB6003" w:rsidRDefault="00DC2039" w:rsidP="009B2605">
      <w:pPr>
        <w:jc w:val="center"/>
        <w:rPr>
          <w:b/>
          <w:sz w:val="24"/>
          <w:szCs w:val="28"/>
          <w:lang w:val="en-US"/>
        </w:rPr>
      </w:pPr>
    </w:p>
    <w:p w14:paraId="5D955C80" w14:textId="1C574D93" w:rsidR="007C7B60" w:rsidRPr="007C7B60" w:rsidRDefault="007C7B60" w:rsidP="00D843F8">
      <w:pPr>
        <w:jc w:val="both"/>
        <w:rPr>
          <w:lang w:val="en-US"/>
        </w:rPr>
      </w:pPr>
      <w:r w:rsidRPr="007C7B60">
        <w:rPr>
          <w:lang w:val="en-US"/>
        </w:rPr>
        <w:t>The eruption of the Mauna Loa volcano on the island of Hawaii (USA) has forced the interruption of the activity of the world's most important observatory for monitoring atmospheric composition. The Mauna Loa Observatory (MLO) holds the world's longest record of surface atmospheric carbon dioxide (CO</w:t>
      </w:r>
      <w:r w:rsidRPr="00DF124A">
        <w:rPr>
          <w:vertAlign w:val="subscript"/>
          <w:lang w:val="en-US"/>
        </w:rPr>
        <w:t>2</w:t>
      </w:r>
      <w:r w:rsidRPr="007C7B60">
        <w:rPr>
          <w:lang w:val="en-US"/>
        </w:rPr>
        <w:t>) measurements. In March 1958, C. David Keeling of the Scripps Institution of Oceanography (</w:t>
      </w:r>
      <w:hyperlink r:id="rId8" w:history="1">
        <w:r w:rsidRPr="00F405C2">
          <w:rPr>
            <w:rStyle w:val="Hipervnculo"/>
            <w:lang w:val="en-US"/>
          </w:rPr>
          <w:t>https://scripps.ucsd.edu/</w:t>
        </w:r>
      </w:hyperlink>
      <w:r w:rsidRPr="007C7B60">
        <w:rPr>
          <w:lang w:val="en-US"/>
        </w:rPr>
        <w:t>) implemented the CO</w:t>
      </w:r>
      <w:r w:rsidRPr="00DF124A">
        <w:rPr>
          <w:vertAlign w:val="subscript"/>
          <w:lang w:val="en-US"/>
        </w:rPr>
        <w:t>2</w:t>
      </w:r>
      <w:r w:rsidRPr="007C7B60">
        <w:rPr>
          <w:lang w:val="en-US"/>
        </w:rPr>
        <w:t xml:space="preserve"> observing program at a National Oceanic and Atmospheric Admini</w:t>
      </w:r>
      <w:r>
        <w:rPr>
          <w:lang w:val="en-US"/>
        </w:rPr>
        <w:t xml:space="preserve">stration </w:t>
      </w:r>
      <w:r w:rsidR="00DF124A" w:rsidRPr="00DF124A">
        <w:rPr>
          <w:lang w:val="en-GB"/>
        </w:rPr>
        <w:t>(</w:t>
      </w:r>
      <w:hyperlink r:id="rId9" w:history="1">
        <w:r w:rsidR="00DF124A" w:rsidRPr="00DF124A">
          <w:rPr>
            <w:rStyle w:val="Hipervnculo"/>
            <w:lang w:val="en-GB"/>
          </w:rPr>
          <w:t>NOAA</w:t>
        </w:r>
      </w:hyperlink>
      <w:r w:rsidR="00DF124A" w:rsidRPr="00DF124A">
        <w:rPr>
          <w:lang w:val="en-GB"/>
        </w:rPr>
        <w:t xml:space="preserve">) </w:t>
      </w:r>
      <w:r>
        <w:rPr>
          <w:lang w:val="en-US"/>
        </w:rPr>
        <w:t xml:space="preserve">facility [1]. </w:t>
      </w:r>
      <w:r w:rsidRPr="007C7B60">
        <w:rPr>
          <w:lang w:val="en-US"/>
        </w:rPr>
        <w:t>In May 1974, NOAA started its own CO</w:t>
      </w:r>
      <w:r w:rsidRPr="00DF124A">
        <w:rPr>
          <w:vertAlign w:val="subscript"/>
          <w:lang w:val="en-US"/>
        </w:rPr>
        <w:t>2</w:t>
      </w:r>
      <w:r w:rsidRPr="007C7B60">
        <w:rPr>
          <w:lang w:val="en-US"/>
        </w:rPr>
        <w:t xml:space="preserve"> measurement program and since then both observing programs have been operating in parallel [2</w:t>
      </w:r>
      <w:proofErr w:type="gramStart"/>
      <w:r w:rsidRPr="007C7B60">
        <w:rPr>
          <w:lang w:val="en-US"/>
        </w:rPr>
        <w:t>,3</w:t>
      </w:r>
      <w:proofErr w:type="gramEnd"/>
      <w:r w:rsidRPr="007C7B60">
        <w:rPr>
          <w:lang w:val="en-US"/>
        </w:rPr>
        <w:t>]. The graph that shows the evolution of the CO</w:t>
      </w:r>
      <w:r w:rsidRPr="00DF124A">
        <w:rPr>
          <w:vertAlign w:val="subscript"/>
          <w:lang w:val="en-US"/>
        </w:rPr>
        <w:t>2</w:t>
      </w:r>
      <w:r w:rsidRPr="007C7B60">
        <w:rPr>
          <w:lang w:val="en-US"/>
        </w:rPr>
        <w:t xml:space="preserve"> concentration in MLO since 1958 is known as the Keeling curve.</w:t>
      </w:r>
    </w:p>
    <w:p w14:paraId="3217C861" w14:textId="6B862570" w:rsidR="000C0CC2" w:rsidRPr="00DF124A" w:rsidRDefault="007C7B60" w:rsidP="00087ABF">
      <w:pPr>
        <w:jc w:val="both"/>
        <w:rPr>
          <w:lang w:val="en-GB"/>
        </w:rPr>
      </w:pPr>
      <w:r w:rsidRPr="007C7B60">
        <w:rPr>
          <w:lang w:val="en-US"/>
        </w:rPr>
        <w:t>Although the ongoing volcanic eruption at Mauna Loa has caused the MLO data series to be temporarily interrupted s</w:t>
      </w:r>
      <w:r>
        <w:rPr>
          <w:lang w:val="en-US"/>
        </w:rPr>
        <w:t>ince November 29, atmospheric CO</w:t>
      </w:r>
      <w:r w:rsidRPr="00DF124A">
        <w:rPr>
          <w:vertAlign w:val="subscript"/>
          <w:lang w:val="en-US"/>
        </w:rPr>
        <w:t>2</w:t>
      </w:r>
      <w:r>
        <w:rPr>
          <w:lang w:val="en-US"/>
        </w:rPr>
        <w:t xml:space="preserve"> monitoring</w:t>
      </w:r>
      <w:r w:rsidRPr="007C7B60">
        <w:rPr>
          <w:lang w:val="en-US"/>
        </w:rPr>
        <w:t xml:space="preserve"> has not been interrupted. NOAA itself, apart from Mauna Loa, manages three other contin</w:t>
      </w:r>
      <w:r w:rsidR="000C0CC2">
        <w:rPr>
          <w:lang w:val="en-US"/>
        </w:rPr>
        <w:t>uous CO</w:t>
      </w:r>
      <w:r w:rsidR="000C0CC2" w:rsidRPr="00DF124A">
        <w:rPr>
          <w:vertAlign w:val="subscript"/>
          <w:lang w:val="en-US"/>
        </w:rPr>
        <w:t>2</w:t>
      </w:r>
      <w:r w:rsidR="000C0CC2">
        <w:rPr>
          <w:lang w:val="en-US"/>
        </w:rPr>
        <w:t xml:space="preserve"> measurement stations under</w:t>
      </w:r>
      <w:r w:rsidRPr="007C7B60">
        <w:rPr>
          <w:lang w:val="en-US"/>
        </w:rPr>
        <w:t xml:space="preserve"> background conditions (Barrow-Alaska; American-Samoa; and South Pole-Antarctica). On a global scale, more than a hundred stations currently measure CO</w:t>
      </w:r>
      <w:r w:rsidRPr="00DF124A">
        <w:rPr>
          <w:vertAlign w:val="subscript"/>
          <w:lang w:val="en-US"/>
        </w:rPr>
        <w:t>2</w:t>
      </w:r>
      <w:r w:rsidRPr="007C7B60">
        <w:rPr>
          <w:lang w:val="en-US"/>
        </w:rPr>
        <w:t xml:space="preserve"> in </w:t>
      </w:r>
      <w:r w:rsidR="000C0CC2">
        <w:rPr>
          <w:lang w:val="en-US"/>
        </w:rPr>
        <w:t>sites</w:t>
      </w:r>
      <w:r w:rsidRPr="007C7B60">
        <w:rPr>
          <w:lang w:val="en-US"/>
        </w:rPr>
        <w:t xml:space="preserve"> representative of very different environmental </w:t>
      </w:r>
      <w:r w:rsidR="00DF124A" w:rsidRPr="007C7B60">
        <w:rPr>
          <w:lang w:val="en-US"/>
        </w:rPr>
        <w:t xml:space="preserve">conditions </w:t>
      </w:r>
      <w:r w:rsidRPr="007C7B60">
        <w:rPr>
          <w:lang w:val="en-US"/>
        </w:rPr>
        <w:t>and climates, contri</w:t>
      </w:r>
      <w:r w:rsidR="000C0CC2">
        <w:rPr>
          <w:lang w:val="en-US"/>
        </w:rPr>
        <w:t>buting to the Global Atmosphere</w:t>
      </w:r>
      <w:r w:rsidRPr="007C7B60">
        <w:rPr>
          <w:lang w:val="en-US"/>
        </w:rPr>
        <w:t xml:space="preserve"> Watch (GAW) Program of the World Meteorological Organization</w:t>
      </w:r>
      <w:r w:rsidR="00DF124A">
        <w:rPr>
          <w:lang w:val="en-US"/>
        </w:rPr>
        <w:t xml:space="preserve"> </w:t>
      </w:r>
      <w:r w:rsidR="00DF124A" w:rsidRPr="00DF124A">
        <w:rPr>
          <w:lang w:val="en-GB"/>
        </w:rPr>
        <w:t>(</w:t>
      </w:r>
      <w:hyperlink r:id="rId10" w:history="1">
        <w:r w:rsidR="00DF124A">
          <w:rPr>
            <w:rStyle w:val="Hipervnculo"/>
            <w:lang w:val="en-GB"/>
          </w:rPr>
          <w:t>W</w:t>
        </w:r>
        <w:r w:rsidR="00DF124A" w:rsidRPr="00DF124A">
          <w:rPr>
            <w:rStyle w:val="Hipervnculo"/>
            <w:lang w:val="en-GB"/>
          </w:rPr>
          <w:t>M</w:t>
        </w:r>
        <w:r w:rsidR="00DF124A">
          <w:rPr>
            <w:rStyle w:val="Hipervnculo"/>
            <w:lang w:val="en-GB"/>
          </w:rPr>
          <w:t>O</w:t>
        </w:r>
      </w:hyperlink>
      <w:r w:rsidR="00DF124A" w:rsidRPr="00DF124A">
        <w:rPr>
          <w:lang w:val="en-GB"/>
        </w:rPr>
        <w:t xml:space="preserve">).  </w:t>
      </w:r>
      <w:r w:rsidRPr="007C7B60">
        <w:rPr>
          <w:lang w:val="en-US"/>
        </w:rPr>
        <w:t xml:space="preserve"> </w:t>
      </w:r>
      <w:r w:rsidR="000C0CC2">
        <w:rPr>
          <w:lang w:val="en-US"/>
        </w:rPr>
        <w:t>Moreover, Europe manages</w:t>
      </w:r>
      <w:r w:rsidR="000C0CC2" w:rsidRPr="000C0CC2">
        <w:rPr>
          <w:lang w:val="en-US"/>
        </w:rPr>
        <w:t xml:space="preserve"> the Integrated Carbon Observation System </w:t>
      </w:r>
      <w:r w:rsidR="00DF124A" w:rsidRPr="00DF124A">
        <w:rPr>
          <w:lang w:val="en-GB"/>
        </w:rPr>
        <w:t>(</w:t>
      </w:r>
      <w:hyperlink r:id="rId11" w:history="1">
        <w:r w:rsidR="00DF124A" w:rsidRPr="00DF124A">
          <w:rPr>
            <w:rStyle w:val="Hipervnculo"/>
            <w:lang w:val="en-GB"/>
          </w:rPr>
          <w:t>ICOS</w:t>
        </w:r>
      </w:hyperlink>
      <w:r w:rsidR="00DF124A" w:rsidRPr="00DF124A">
        <w:rPr>
          <w:lang w:val="en-GB"/>
        </w:rPr>
        <w:t xml:space="preserve">) </w:t>
      </w:r>
      <w:r w:rsidR="000C0CC2" w:rsidRPr="000C0CC2">
        <w:rPr>
          <w:lang w:val="en-US"/>
        </w:rPr>
        <w:t xml:space="preserve">research infrastructure </w:t>
      </w:r>
      <w:proofErr w:type="gramStart"/>
      <w:r w:rsidR="000C0CC2" w:rsidRPr="000C0CC2">
        <w:rPr>
          <w:lang w:val="en-US"/>
        </w:rPr>
        <w:t>whose</w:t>
      </w:r>
      <w:proofErr w:type="gramEnd"/>
      <w:r w:rsidR="000C0CC2" w:rsidRPr="000C0CC2">
        <w:rPr>
          <w:lang w:val="en-US"/>
        </w:rPr>
        <w:t xml:space="preserve"> ne</w:t>
      </w:r>
      <w:r w:rsidR="000C0CC2">
        <w:rPr>
          <w:lang w:val="en-US"/>
        </w:rPr>
        <w:t>twork of 150 stations monitor</w:t>
      </w:r>
      <w:r w:rsidR="000C0CC2" w:rsidRPr="000C0CC2">
        <w:rPr>
          <w:lang w:val="en-US"/>
        </w:rPr>
        <w:t xml:space="preserve"> CO</w:t>
      </w:r>
      <w:r w:rsidR="000C0CC2" w:rsidRPr="00DF124A">
        <w:rPr>
          <w:vertAlign w:val="subscript"/>
          <w:lang w:val="en-US"/>
        </w:rPr>
        <w:t>2</w:t>
      </w:r>
      <w:r w:rsidR="000C0CC2" w:rsidRPr="000C0CC2">
        <w:rPr>
          <w:lang w:val="en-US"/>
        </w:rPr>
        <w:t xml:space="preserve"> and other gases in the atmosphere, oceans and major ecosystems. </w:t>
      </w:r>
    </w:p>
    <w:p w14:paraId="22769191" w14:textId="3D910433" w:rsidR="000C0CC2" w:rsidRDefault="000C0CC2" w:rsidP="00350526">
      <w:pPr>
        <w:jc w:val="both"/>
        <w:rPr>
          <w:lang w:val="en-US"/>
        </w:rPr>
      </w:pPr>
      <w:r w:rsidRPr="000C0CC2">
        <w:rPr>
          <w:lang w:val="en-US"/>
        </w:rPr>
        <w:t>As an example, and to show that the information on CO</w:t>
      </w:r>
      <w:r w:rsidRPr="00DF124A">
        <w:rPr>
          <w:vertAlign w:val="subscript"/>
          <w:lang w:val="en-US"/>
        </w:rPr>
        <w:t>2</w:t>
      </w:r>
      <w:r w:rsidRPr="000C0CC2">
        <w:rPr>
          <w:lang w:val="en-US"/>
        </w:rPr>
        <w:t xml:space="preserve"> concentrations in the atmosphere provided by Mauna Loa is also provided by other stations, below we compare the CO</w:t>
      </w:r>
      <w:r w:rsidRPr="00DF124A">
        <w:rPr>
          <w:vertAlign w:val="subscript"/>
          <w:lang w:val="en-US"/>
        </w:rPr>
        <w:t>2</w:t>
      </w:r>
      <w:r w:rsidRPr="000C0CC2">
        <w:rPr>
          <w:lang w:val="en-US"/>
        </w:rPr>
        <w:t xml:space="preserve"> concentration data recorded at MLO and at the </w:t>
      </w:r>
      <w:proofErr w:type="spellStart"/>
      <w:r w:rsidRPr="000C0CC2">
        <w:rPr>
          <w:lang w:val="en-US"/>
        </w:rPr>
        <w:t>Izaña</w:t>
      </w:r>
      <w:proofErr w:type="spellEnd"/>
      <w:r w:rsidRPr="000C0CC2">
        <w:rPr>
          <w:lang w:val="en-US"/>
        </w:rPr>
        <w:t xml:space="preserve"> Observatory (IZO) from 1984. IZO is managed by the State Meteorological Agency (AEMET) through the </w:t>
      </w:r>
      <w:proofErr w:type="spellStart"/>
      <w:r w:rsidRPr="000C0CC2">
        <w:rPr>
          <w:lang w:val="en-US"/>
        </w:rPr>
        <w:t>Izaña</w:t>
      </w:r>
      <w:proofErr w:type="spellEnd"/>
      <w:r w:rsidRPr="000C0CC2">
        <w:rPr>
          <w:lang w:val="en-US"/>
        </w:rPr>
        <w:t xml:space="preserve"> Atmospheric Research Center. IZO began its atmospheric CO</w:t>
      </w:r>
      <w:r w:rsidRPr="00DF124A">
        <w:rPr>
          <w:vertAlign w:val="subscript"/>
          <w:lang w:val="en-US"/>
        </w:rPr>
        <w:t>2</w:t>
      </w:r>
      <w:r w:rsidRPr="000C0CC2">
        <w:rPr>
          <w:lang w:val="en-US"/>
        </w:rPr>
        <w:t xml:space="preserve"> concentration measurement program in 1984, largely by replicating the CO</w:t>
      </w:r>
      <w:r w:rsidRPr="00DF124A">
        <w:rPr>
          <w:vertAlign w:val="subscript"/>
          <w:lang w:val="en-US"/>
        </w:rPr>
        <w:t>2</w:t>
      </w:r>
      <w:r w:rsidRPr="000C0CC2">
        <w:rPr>
          <w:lang w:val="en-US"/>
        </w:rPr>
        <w:t xml:space="preserve"> measurement program established at Mauna Loa. In fact, the German researchers who, a decade earlier, had proposed </w:t>
      </w:r>
      <w:proofErr w:type="spellStart"/>
      <w:r w:rsidRPr="000C0CC2">
        <w:rPr>
          <w:lang w:val="en-US"/>
        </w:rPr>
        <w:t>Izaña</w:t>
      </w:r>
      <w:proofErr w:type="spellEnd"/>
      <w:r w:rsidRPr="000C0CC2">
        <w:rPr>
          <w:lang w:val="en-US"/>
        </w:rPr>
        <w:t xml:space="preserve"> as a station for the Background Atmospheric Pollution </w:t>
      </w:r>
      <w:r>
        <w:rPr>
          <w:lang w:val="en-US"/>
        </w:rPr>
        <w:t>Monitoring Network (</w:t>
      </w:r>
      <w:proofErr w:type="spellStart"/>
      <w:r>
        <w:rPr>
          <w:lang w:val="en-US"/>
        </w:rPr>
        <w:t>BAPMoN</w:t>
      </w:r>
      <w:proofErr w:type="spellEnd"/>
      <w:r>
        <w:rPr>
          <w:lang w:val="en-US"/>
        </w:rPr>
        <w:t xml:space="preserve">) referred to </w:t>
      </w:r>
      <w:proofErr w:type="spellStart"/>
      <w:r>
        <w:rPr>
          <w:lang w:val="en-US"/>
        </w:rPr>
        <w:t>Izaña</w:t>
      </w:r>
      <w:proofErr w:type="spellEnd"/>
      <w:r w:rsidRPr="000C0CC2">
        <w:rPr>
          <w:lang w:val="en-US"/>
        </w:rPr>
        <w:t xml:space="preserve"> as the “European Mauna-Loa”. IZO has co</w:t>
      </w:r>
      <w:r>
        <w:rPr>
          <w:lang w:val="en-US"/>
        </w:rPr>
        <w:t xml:space="preserve">ntributed to the Global Atmosphere Watch </w:t>
      </w:r>
      <w:r w:rsidRPr="000C0CC2">
        <w:rPr>
          <w:lang w:val="en-US"/>
        </w:rPr>
        <w:t xml:space="preserve">(GAW) Program of the World </w:t>
      </w:r>
      <w:r w:rsidRPr="000C0CC2">
        <w:rPr>
          <w:lang w:val="en-US"/>
        </w:rPr>
        <w:lastRenderedPageBreak/>
        <w:t>Meteorological Organization (WMO) since 1989, the year this network was created, but also to the NOAA CO</w:t>
      </w:r>
      <w:r w:rsidRPr="00DF124A">
        <w:rPr>
          <w:vertAlign w:val="subscript"/>
          <w:lang w:val="en-US"/>
        </w:rPr>
        <w:t>2</w:t>
      </w:r>
      <w:r w:rsidRPr="000C0CC2">
        <w:rPr>
          <w:lang w:val="en-US"/>
        </w:rPr>
        <w:t xml:space="preserve"> database (</w:t>
      </w:r>
      <w:proofErr w:type="spellStart"/>
      <w:r w:rsidRPr="000C0CC2">
        <w:rPr>
          <w:lang w:val="en-US"/>
        </w:rPr>
        <w:t>ObsPack</w:t>
      </w:r>
      <w:proofErr w:type="spellEnd"/>
      <w:r w:rsidRPr="000C0CC2">
        <w:rPr>
          <w:lang w:val="en-US"/>
        </w:rPr>
        <w:t xml:space="preserve"> CO2 Data).</w:t>
      </w:r>
    </w:p>
    <w:p w14:paraId="5B4F1DF1" w14:textId="42AF9F47" w:rsidR="00BA6DE3" w:rsidRDefault="00BA6DE3" w:rsidP="00337239">
      <w:pPr>
        <w:jc w:val="both"/>
        <w:rPr>
          <w:lang w:val="en-US"/>
        </w:rPr>
      </w:pPr>
      <w:r w:rsidRPr="00BA6DE3">
        <w:rPr>
          <w:lang w:val="en-US"/>
        </w:rPr>
        <w:t xml:space="preserve">IZO and MLO are part of a small group of high mountain stations that are representative of background conditions, and specifically of the subtropical region. The background stations are located in </w:t>
      </w:r>
      <w:r>
        <w:rPr>
          <w:lang w:val="en-US"/>
        </w:rPr>
        <w:t>sites</w:t>
      </w:r>
      <w:r w:rsidRPr="00BA6DE3">
        <w:rPr>
          <w:lang w:val="en-US"/>
        </w:rPr>
        <w:t xml:space="preserve"> not directly affected by anthropogenic </w:t>
      </w:r>
      <w:r>
        <w:rPr>
          <w:lang w:val="en-US"/>
        </w:rPr>
        <w:t xml:space="preserve">pollution </w:t>
      </w:r>
      <w:r w:rsidR="00CD74E8">
        <w:rPr>
          <w:lang w:val="en-US"/>
        </w:rPr>
        <w:t>sources</w:t>
      </w:r>
      <w:r w:rsidRPr="00BA6DE3">
        <w:rPr>
          <w:lang w:val="en-US"/>
        </w:rPr>
        <w:t xml:space="preserve">, and one of their main objectives is to measure, very precisely, long-term changes </w:t>
      </w:r>
      <w:r>
        <w:rPr>
          <w:lang w:val="en-US"/>
        </w:rPr>
        <w:t>in</w:t>
      </w:r>
      <w:r w:rsidRPr="00BA6DE3">
        <w:rPr>
          <w:lang w:val="en-US"/>
        </w:rPr>
        <w:t xml:space="preserve"> atmospheric components. </w:t>
      </w:r>
      <w:r>
        <w:rPr>
          <w:lang w:val="en-US"/>
        </w:rPr>
        <w:t xml:space="preserve">MLO and IZO </w:t>
      </w:r>
      <w:r w:rsidRPr="00BA6DE3">
        <w:rPr>
          <w:lang w:val="en-US"/>
        </w:rPr>
        <w:t xml:space="preserve">share a series of common characteristics such as being located in high mountains, on islands sufficiently far from anthropogenic </w:t>
      </w:r>
      <w:r w:rsidR="00CD74E8">
        <w:rPr>
          <w:lang w:val="en-US"/>
        </w:rPr>
        <w:t>poll</w:t>
      </w:r>
      <w:r>
        <w:rPr>
          <w:lang w:val="en-US"/>
        </w:rPr>
        <w:t>ution</w:t>
      </w:r>
      <w:r w:rsidRPr="00BA6DE3">
        <w:rPr>
          <w:lang w:val="en-US"/>
        </w:rPr>
        <w:t>, and located at a similar latitude.</w:t>
      </w:r>
      <w:r w:rsidR="00DE4F25" w:rsidRPr="00BA6DE3">
        <w:rPr>
          <w:lang w:val="en-US"/>
        </w:rPr>
        <w:t xml:space="preserve"> </w:t>
      </w:r>
      <w:r w:rsidRPr="00BA6DE3">
        <w:rPr>
          <w:lang w:val="en-US"/>
        </w:rPr>
        <w:t>This type of station ensures that, for many hours a day, CO</w:t>
      </w:r>
      <w:r w:rsidRPr="00DF124A">
        <w:rPr>
          <w:vertAlign w:val="subscript"/>
          <w:lang w:val="en-US"/>
        </w:rPr>
        <w:t>2</w:t>
      </w:r>
      <w:r w:rsidRPr="00BA6DE3">
        <w:rPr>
          <w:lang w:val="en-US"/>
        </w:rPr>
        <w:t xml:space="preserve"> measurements are carried out under background conditions, </w:t>
      </w:r>
      <w:r w:rsidR="00CD74E8">
        <w:rPr>
          <w:lang w:val="en-US"/>
        </w:rPr>
        <w:t>c</w:t>
      </w:r>
      <w:r w:rsidRPr="00BA6DE3">
        <w:rPr>
          <w:lang w:val="en-US"/>
        </w:rPr>
        <w:t>orrespond</w:t>
      </w:r>
      <w:r w:rsidR="00CD74E8">
        <w:rPr>
          <w:lang w:val="en-US"/>
        </w:rPr>
        <w:t>ing to almost pure fre</w:t>
      </w:r>
      <w:r w:rsidRPr="00BA6DE3">
        <w:rPr>
          <w:lang w:val="en-US"/>
        </w:rPr>
        <w:t>e troposphere</w:t>
      </w:r>
      <w:r w:rsidR="00CD74E8">
        <w:rPr>
          <w:lang w:val="en-US"/>
        </w:rPr>
        <w:t>.</w:t>
      </w:r>
      <w:r w:rsidRPr="00BA6DE3">
        <w:rPr>
          <w:lang w:val="en-US"/>
        </w:rPr>
        <w:t xml:space="preserve"> When the average monthly CO</w:t>
      </w:r>
      <w:r w:rsidRPr="00DF124A">
        <w:rPr>
          <w:vertAlign w:val="subscript"/>
          <w:lang w:val="en-US"/>
        </w:rPr>
        <w:t>2</w:t>
      </w:r>
      <w:r w:rsidRPr="00BA6DE3">
        <w:rPr>
          <w:lang w:val="en-US"/>
        </w:rPr>
        <w:t xml:space="preserve"> concentrations of both stations, separated from each other by more than 13,000 km,</w:t>
      </w:r>
      <w:r>
        <w:rPr>
          <w:lang w:val="en-US"/>
        </w:rPr>
        <w:t xml:space="preserve"> </w:t>
      </w:r>
      <w:r w:rsidRPr="00BA6DE3">
        <w:rPr>
          <w:lang w:val="en-US"/>
        </w:rPr>
        <w:t>are compared</w:t>
      </w:r>
      <w:r>
        <w:rPr>
          <w:lang w:val="en-US"/>
        </w:rPr>
        <w:t>,</w:t>
      </w:r>
      <w:r w:rsidRPr="00BA6DE3">
        <w:rPr>
          <w:lang w:val="en-US"/>
        </w:rPr>
        <w:t xml:space="preserve"> it is observed how their data practically overlaps (Figure 1). This is only possible if both stations are measuring very clean air masses, normally coming from the middle layers of the troposphere, and the fact that CO</w:t>
      </w:r>
      <w:r w:rsidRPr="00DF124A">
        <w:rPr>
          <w:vertAlign w:val="subscript"/>
          <w:lang w:val="en-US"/>
        </w:rPr>
        <w:t>2</w:t>
      </w:r>
      <w:r w:rsidRPr="00BA6DE3">
        <w:rPr>
          <w:lang w:val="en-US"/>
        </w:rPr>
        <w:t xml:space="preserve"> has a very long life, which allows it to mix well throughout the atmosphere.</w:t>
      </w:r>
    </w:p>
    <w:p w14:paraId="43A35CA0" w14:textId="6E92BCAF" w:rsidR="00CD74E8" w:rsidRDefault="00CD74E8" w:rsidP="00D843F8">
      <w:pPr>
        <w:jc w:val="both"/>
        <w:rPr>
          <w:lang w:val="en-US"/>
        </w:rPr>
      </w:pPr>
      <w:r w:rsidRPr="00CD74E8">
        <w:rPr>
          <w:lang w:val="en-US"/>
        </w:rPr>
        <w:t>The monthly series of IZO and MLO reproduce in the same way the seasonal variation of CO</w:t>
      </w:r>
      <w:r w:rsidRPr="00DF124A">
        <w:rPr>
          <w:vertAlign w:val="subscript"/>
          <w:lang w:val="en-US"/>
        </w:rPr>
        <w:t>2</w:t>
      </w:r>
      <w:r w:rsidRPr="00CD74E8">
        <w:rPr>
          <w:lang w:val="en-US"/>
        </w:rPr>
        <w:t xml:space="preserve"> associated with the respiration cycle of the vegeta</w:t>
      </w:r>
      <w:r w:rsidR="00493622">
        <w:rPr>
          <w:lang w:val="en-US"/>
        </w:rPr>
        <w:t>tion in the northern hemisphere. So, the</w:t>
      </w:r>
      <w:r w:rsidRPr="00CD74E8">
        <w:rPr>
          <w:lang w:val="en-US"/>
        </w:rPr>
        <w:t xml:space="preserve"> annual </w:t>
      </w:r>
      <w:r w:rsidR="00493622">
        <w:rPr>
          <w:lang w:val="en-US"/>
        </w:rPr>
        <w:t>CO</w:t>
      </w:r>
      <w:r w:rsidR="00493622" w:rsidRPr="00DF124A">
        <w:rPr>
          <w:vertAlign w:val="subscript"/>
          <w:lang w:val="en-US"/>
        </w:rPr>
        <w:t>2</w:t>
      </w:r>
      <w:r w:rsidR="00493622">
        <w:rPr>
          <w:lang w:val="en-US"/>
        </w:rPr>
        <w:t xml:space="preserve"> </w:t>
      </w:r>
      <w:r w:rsidRPr="00CD74E8">
        <w:rPr>
          <w:lang w:val="en-US"/>
        </w:rPr>
        <w:t>maximum</w:t>
      </w:r>
      <w:r w:rsidR="00C92DE9">
        <w:rPr>
          <w:lang w:val="en-US"/>
        </w:rPr>
        <w:t xml:space="preserve"> </w:t>
      </w:r>
      <w:bookmarkStart w:id="0" w:name="_GoBack"/>
      <w:bookmarkEnd w:id="0"/>
      <w:r w:rsidRPr="00CD74E8">
        <w:rPr>
          <w:lang w:val="en-US"/>
        </w:rPr>
        <w:t>in spring, between the end of April and the beginning of May. However, it must be said that the amplitude of the seasonal CO</w:t>
      </w:r>
      <w:r w:rsidRPr="00DF124A">
        <w:rPr>
          <w:vertAlign w:val="subscript"/>
          <w:lang w:val="en-US"/>
        </w:rPr>
        <w:t>2</w:t>
      </w:r>
      <w:r w:rsidRPr="00CD74E8">
        <w:rPr>
          <w:lang w:val="en-US"/>
        </w:rPr>
        <w:t xml:space="preserve"> cycle is slightly different in both observatories, as shown in the </w:t>
      </w:r>
      <w:r w:rsidR="00493622">
        <w:rPr>
          <w:lang w:val="en-US"/>
        </w:rPr>
        <w:t>zoomed</w:t>
      </w:r>
      <w:r w:rsidRPr="00CD74E8">
        <w:rPr>
          <w:lang w:val="en-US"/>
        </w:rPr>
        <w:t xml:space="preserve"> detail of Figure 1. IZO presents a slightly greater seasonal amplitude than MLO bec</w:t>
      </w:r>
      <w:r w:rsidR="001B011E">
        <w:rPr>
          <w:lang w:val="en-US"/>
        </w:rPr>
        <w:t>ause it is located about 8°</w:t>
      </w:r>
      <w:r w:rsidRPr="00CD74E8">
        <w:rPr>
          <w:lang w:val="en-US"/>
        </w:rPr>
        <w:t xml:space="preserve"> latitude further north (there is a latitudinal gradient with higher CO</w:t>
      </w:r>
      <w:r w:rsidRPr="00DF124A">
        <w:rPr>
          <w:vertAlign w:val="subscript"/>
          <w:lang w:val="en-US"/>
        </w:rPr>
        <w:t>2</w:t>
      </w:r>
      <w:r w:rsidRPr="00CD74E8">
        <w:rPr>
          <w:lang w:val="en-US"/>
        </w:rPr>
        <w:t xml:space="preserve"> concentration at higher latitudes), and at a shorter distance than MLO from continental regions, so IZO measurements would be slightly more affected by the photosynthetic activity of plants. Instead, MLO located in the middle of the Pacific Ocean is less affected by this natural cycle of CO</w:t>
      </w:r>
      <w:r w:rsidRPr="00DF124A">
        <w:rPr>
          <w:vertAlign w:val="subscript"/>
          <w:lang w:val="en-US"/>
        </w:rPr>
        <w:t>2</w:t>
      </w:r>
      <w:r w:rsidRPr="00CD74E8">
        <w:rPr>
          <w:lang w:val="en-US"/>
        </w:rPr>
        <w:t>.</w:t>
      </w:r>
    </w:p>
    <w:p w14:paraId="4A026F19" w14:textId="6D254369" w:rsidR="00164930" w:rsidRPr="00CD74E8" w:rsidRDefault="003E7BF4" w:rsidP="00D843F8">
      <w:pPr>
        <w:jc w:val="both"/>
        <w:rPr>
          <w:lang w:val="en-US"/>
        </w:rPr>
      </w:pPr>
      <w:r>
        <w:rPr>
          <w:noProof/>
          <w:lang w:eastAsia="es-ES"/>
        </w:rPr>
        <w:drawing>
          <wp:inline distT="0" distB="0" distL="0" distR="0" wp14:anchorId="4301C163" wp14:editId="555B055D">
            <wp:extent cx="5172075" cy="29432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ZO_MLO_V2.png"/>
                    <pic:cNvPicPr/>
                  </pic:nvPicPr>
                  <pic:blipFill rotWithShape="1">
                    <a:blip r:embed="rId12" cstate="print">
                      <a:extLst>
                        <a:ext uri="{28A0092B-C50C-407E-A947-70E740481C1C}">
                          <a14:useLocalDpi xmlns:a14="http://schemas.microsoft.com/office/drawing/2010/main" val="0"/>
                        </a:ext>
                      </a:extLst>
                    </a:blip>
                    <a:srcRect l="3538" t="12637" r="640" b="11208"/>
                    <a:stretch/>
                  </pic:blipFill>
                  <pic:spPr bwMode="auto">
                    <a:xfrm>
                      <a:off x="0" y="0"/>
                      <a:ext cx="5174351" cy="2944520"/>
                    </a:xfrm>
                    <a:prstGeom prst="rect">
                      <a:avLst/>
                    </a:prstGeom>
                    <a:ln>
                      <a:noFill/>
                    </a:ln>
                    <a:extLst>
                      <a:ext uri="{53640926-AAD7-44D8-BBD7-CCE9431645EC}">
                        <a14:shadowObscured xmlns:a14="http://schemas.microsoft.com/office/drawing/2010/main"/>
                      </a:ext>
                    </a:extLst>
                  </pic:spPr>
                </pic:pic>
              </a:graphicData>
            </a:graphic>
          </wp:inline>
        </w:drawing>
      </w:r>
    </w:p>
    <w:p w14:paraId="6ECDE0D9" w14:textId="7ACB3733" w:rsidR="00164930" w:rsidRPr="006C1AEB" w:rsidRDefault="006C1AEB" w:rsidP="001B011E">
      <w:pPr>
        <w:jc w:val="both"/>
        <w:rPr>
          <w:sz w:val="18"/>
          <w:szCs w:val="18"/>
          <w:lang w:val="en-US"/>
        </w:rPr>
      </w:pPr>
      <w:r w:rsidRPr="006C1AEB">
        <w:rPr>
          <w:sz w:val="18"/>
          <w:szCs w:val="18"/>
          <w:lang w:val="en-US"/>
        </w:rPr>
        <w:t>Figure 1. Mean monthly CO</w:t>
      </w:r>
      <w:r w:rsidRPr="00DF124A">
        <w:rPr>
          <w:sz w:val="18"/>
          <w:szCs w:val="18"/>
          <w:vertAlign w:val="subscript"/>
          <w:lang w:val="en-US"/>
        </w:rPr>
        <w:t>2</w:t>
      </w:r>
      <w:r w:rsidRPr="006C1AEB">
        <w:rPr>
          <w:sz w:val="18"/>
          <w:szCs w:val="18"/>
          <w:lang w:val="en-US"/>
        </w:rPr>
        <w:t xml:space="preserve"> con</w:t>
      </w:r>
      <w:r>
        <w:rPr>
          <w:sz w:val="18"/>
          <w:szCs w:val="18"/>
          <w:lang w:val="en-US"/>
        </w:rPr>
        <w:t>centration (ppm) measured at</w:t>
      </w:r>
      <w:r w:rsidRPr="006C1AEB">
        <w:rPr>
          <w:sz w:val="18"/>
          <w:szCs w:val="18"/>
          <w:lang w:val="en-US"/>
        </w:rPr>
        <w:t xml:space="preserve"> </w:t>
      </w:r>
      <w:proofErr w:type="spellStart"/>
      <w:r w:rsidRPr="006C1AEB">
        <w:rPr>
          <w:sz w:val="18"/>
          <w:szCs w:val="18"/>
          <w:lang w:val="en-US"/>
        </w:rPr>
        <w:t>Izaña</w:t>
      </w:r>
      <w:proofErr w:type="spellEnd"/>
      <w:r w:rsidRPr="006C1AEB">
        <w:rPr>
          <w:sz w:val="18"/>
          <w:szCs w:val="18"/>
          <w:lang w:val="en-US"/>
        </w:rPr>
        <w:t xml:space="preserve"> (red) and Mauna Loa (black) Observatories under background con</w:t>
      </w:r>
      <w:r>
        <w:rPr>
          <w:sz w:val="18"/>
          <w:szCs w:val="18"/>
          <w:lang w:val="en-US"/>
        </w:rPr>
        <w:t xml:space="preserve">ditions and seasonally fitted </w:t>
      </w:r>
      <w:r w:rsidRPr="006C1AEB">
        <w:rPr>
          <w:sz w:val="18"/>
          <w:szCs w:val="18"/>
          <w:lang w:val="en-US"/>
        </w:rPr>
        <w:t xml:space="preserve">data (blue and green, respectively) for each station. In the </w:t>
      </w:r>
      <w:r>
        <w:rPr>
          <w:sz w:val="18"/>
          <w:szCs w:val="18"/>
          <w:lang w:val="en-US"/>
        </w:rPr>
        <w:t>zoomed</w:t>
      </w:r>
      <w:r w:rsidRPr="006C1AEB">
        <w:rPr>
          <w:sz w:val="18"/>
          <w:szCs w:val="18"/>
          <w:lang w:val="en-US"/>
        </w:rPr>
        <w:t xml:space="preserve"> image it can be seen how the seasonal cycle of IZO has a slightly greater amplitude and a slight lag with respect to that of MLO.</w:t>
      </w:r>
    </w:p>
    <w:p w14:paraId="61AD96E8" w14:textId="6A0B388B" w:rsidR="00337239" w:rsidRPr="006C1AEB" w:rsidRDefault="00337239" w:rsidP="00337239">
      <w:pPr>
        <w:rPr>
          <w:sz w:val="18"/>
          <w:szCs w:val="18"/>
          <w:lang w:val="en-US"/>
        </w:rPr>
      </w:pPr>
    </w:p>
    <w:p w14:paraId="096EEC7C" w14:textId="00B482AA" w:rsidR="001045C1" w:rsidRPr="001045C1" w:rsidRDefault="001045C1" w:rsidP="001045C1">
      <w:pPr>
        <w:jc w:val="both"/>
        <w:rPr>
          <w:lang w:val="en-US"/>
        </w:rPr>
      </w:pPr>
      <w:r w:rsidRPr="001045C1">
        <w:rPr>
          <w:lang w:val="en-US"/>
        </w:rPr>
        <w:t xml:space="preserve">Although the natural seasonal cycle in the two stations is slightly different, the </w:t>
      </w:r>
      <w:r>
        <w:rPr>
          <w:lang w:val="en-US"/>
        </w:rPr>
        <w:t xml:space="preserve">fitting curves of the </w:t>
      </w:r>
      <w:proofErr w:type="spellStart"/>
      <w:r w:rsidRPr="001045C1">
        <w:rPr>
          <w:lang w:val="en-US"/>
        </w:rPr>
        <w:t>deseasonalize</w:t>
      </w:r>
      <w:r>
        <w:rPr>
          <w:lang w:val="en-US"/>
        </w:rPr>
        <w:t>d</w:t>
      </w:r>
      <w:proofErr w:type="spellEnd"/>
      <w:r w:rsidRPr="001045C1">
        <w:rPr>
          <w:lang w:val="en-US"/>
        </w:rPr>
        <w:t xml:space="preserve"> data series for both stations overlap as shown in Figure 1. The</w:t>
      </w:r>
      <w:r>
        <w:rPr>
          <w:lang w:val="en-US"/>
        </w:rPr>
        <w:t>se rising</w:t>
      </w:r>
      <w:r w:rsidR="0012787E">
        <w:rPr>
          <w:lang w:val="en-US"/>
        </w:rPr>
        <w:t xml:space="preserve"> CO</w:t>
      </w:r>
      <w:r w:rsidR="0012787E" w:rsidRPr="00DF124A">
        <w:rPr>
          <w:vertAlign w:val="subscript"/>
          <w:lang w:val="en-US"/>
        </w:rPr>
        <w:t>2</w:t>
      </w:r>
      <w:r>
        <w:rPr>
          <w:lang w:val="en-US"/>
        </w:rPr>
        <w:t xml:space="preserve"> curves </w:t>
      </w:r>
      <w:r w:rsidR="0012787E">
        <w:rPr>
          <w:lang w:val="en-US"/>
        </w:rPr>
        <w:t>represent</w:t>
      </w:r>
      <w:r w:rsidRPr="001045C1">
        <w:rPr>
          <w:lang w:val="en-US"/>
        </w:rPr>
        <w:t xml:space="preserve"> the </w:t>
      </w:r>
      <w:r w:rsidR="0012787E" w:rsidRPr="001045C1">
        <w:rPr>
          <w:lang w:val="en-US"/>
        </w:rPr>
        <w:t xml:space="preserve">anthropogenic </w:t>
      </w:r>
      <w:r w:rsidRPr="001045C1">
        <w:rPr>
          <w:lang w:val="en-US"/>
        </w:rPr>
        <w:t>component of a</w:t>
      </w:r>
      <w:r w:rsidR="0012787E">
        <w:rPr>
          <w:lang w:val="en-US"/>
        </w:rPr>
        <w:t>tmospheric CO</w:t>
      </w:r>
      <w:r w:rsidR="0012787E" w:rsidRPr="00DF124A">
        <w:rPr>
          <w:vertAlign w:val="subscript"/>
          <w:lang w:val="en-US"/>
        </w:rPr>
        <w:t>2</w:t>
      </w:r>
      <w:r w:rsidR="0012787E">
        <w:rPr>
          <w:lang w:val="en-US"/>
        </w:rPr>
        <w:t>, that is, the observed</w:t>
      </w:r>
      <w:r w:rsidRPr="001045C1">
        <w:rPr>
          <w:lang w:val="en-US"/>
        </w:rPr>
        <w:t xml:space="preserve"> increase in CO</w:t>
      </w:r>
      <w:r w:rsidRPr="00DF124A">
        <w:rPr>
          <w:vertAlign w:val="subscript"/>
          <w:lang w:val="en-US"/>
        </w:rPr>
        <w:t>2</w:t>
      </w:r>
      <w:r w:rsidRPr="001045C1">
        <w:rPr>
          <w:lang w:val="en-US"/>
        </w:rPr>
        <w:t xml:space="preserve"> from year to year is due to CO</w:t>
      </w:r>
      <w:r w:rsidRPr="00DF124A">
        <w:rPr>
          <w:vertAlign w:val="subscript"/>
          <w:lang w:val="en-US"/>
        </w:rPr>
        <w:t>2</w:t>
      </w:r>
      <w:r w:rsidRPr="001045C1">
        <w:rPr>
          <w:lang w:val="en-US"/>
        </w:rPr>
        <w:t xml:space="preserve"> emissions into the atmosphere from fossil fuels</w:t>
      </w:r>
      <w:r w:rsidR="0012787E">
        <w:rPr>
          <w:lang w:val="en-US"/>
        </w:rPr>
        <w:t xml:space="preserve"> burning</w:t>
      </w:r>
      <w:r w:rsidRPr="001045C1">
        <w:rPr>
          <w:lang w:val="en-US"/>
        </w:rPr>
        <w:t>.</w:t>
      </w:r>
      <w:r w:rsidR="001B011E">
        <w:rPr>
          <w:lang w:val="en-US"/>
        </w:rPr>
        <w:t xml:space="preserve"> </w:t>
      </w:r>
      <w:r w:rsidR="001B011E" w:rsidRPr="001B011E">
        <w:rPr>
          <w:lang w:val="en-US"/>
        </w:rPr>
        <w:t>Both stations show the same mean annual increase in background CO</w:t>
      </w:r>
      <w:r w:rsidR="001B011E" w:rsidRPr="00DF124A">
        <w:rPr>
          <w:vertAlign w:val="subscript"/>
          <w:lang w:val="en-US"/>
        </w:rPr>
        <w:t>2</w:t>
      </w:r>
      <w:r w:rsidR="001B011E" w:rsidRPr="001B011E">
        <w:rPr>
          <w:lang w:val="en-US"/>
        </w:rPr>
        <w:t xml:space="preserve"> concentration, confirming that this process occurs on a global scale. </w:t>
      </w:r>
    </w:p>
    <w:p w14:paraId="6E370B59" w14:textId="7E625BC6" w:rsidR="007609A2" w:rsidRPr="0012787E" w:rsidRDefault="0012787E" w:rsidP="00314D21">
      <w:pPr>
        <w:spacing w:after="0" w:line="240" w:lineRule="auto"/>
        <w:jc w:val="both"/>
        <w:rPr>
          <w:lang w:val="en-US"/>
        </w:rPr>
      </w:pPr>
      <w:r w:rsidRPr="0012787E">
        <w:rPr>
          <w:lang w:val="en-US"/>
        </w:rPr>
        <w:t>Table 1 shows the mean annual increases in CO</w:t>
      </w:r>
      <w:r w:rsidRPr="00DF124A">
        <w:rPr>
          <w:vertAlign w:val="subscript"/>
          <w:lang w:val="en-US"/>
        </w:rPr>
        <w:t>2</w:t>
      </w:r>
      <w:r w:rsidRPr="0012787E">
        <w:rPr>
          <w:lang w:val="en-US"/>
        </w:rPr>
        <w:t xml:space="preserve"> evaluated in different periods of time. Both stations indicate, in almost the same way, how the accumulation of CO</w:t>
      </w:r>
      <w:r w:rsidRPr="00DF124A">
        <w:rPr>
          <w:vertAlign w:val="subscript"/>
          <w:lang w:val="en-US"/>
        </w:rPr>
        <w:t>2</w:t>
      </w:r>
      <w:r w:rsidRPr="0012787E">
        <w:rPr>
          <w:lang w:val="en-US"/>
        </w:rPr>
        <w:t xml:space="preserve"> in the atmosphere is accelerating. If in the 1980s the average annual increase in the background concentration of CO</w:t>
      </w:r>
      <w:r w:rsidRPr="00DF124A">
        <w:rPr>
          <w:vertAlign w:val="subscript"/>
          <w:lang w:val="en-US"/>
        </w:rPr>
        <w:t>2</w:t>
      </w:r>
      <w:r w:rsidRPr="0012787E">
        <w:rPr>
          <w:lang w:val="en-US"/>
        </w:rPr>
        <w:t xml:space="preserve"> was approximately 1.3 ppm/year, it is currently somewhat higher than 2.5 ppm/year. In other words, the rate of increase of CO</w:t>
      </w:r>
      <w:r w:rsidRPr="00DF124A">
        <w:rPr>
          <w:vertAlign w:val="subscript"/>
          <w:lang w:val="en-US"/>
        </w:rPr>
        <w:t>2</w:t>
      </w:r>
      <w:r w:rsidRPr="0012787E">
        <w:rPr>
          <w:lang w:val="en-US"/>
        </w:rPr>
        <w:t xml:space="preserve"> grows an average of 1 ppm/year every 25 years approximately.</w:t>
      </w:r>
    </w:p>
    <w:p w14:paraId="1E67AAE0" w14:textId="77777777" w:rsidR="0012787E" w:rsidRPr="0012787E" w:rsidRDefault="0012787E" w:rsidP="00314D21">
      <w:pPr>
        <w:spacing w:after="0" w:line="240" w:lineRule="auto"/>
        <w:jc w:val="both"/>
        <w:rPr>
          <w:sz w:val="18"/>
          <w:szCs w:val="18"/>
          <w:lang w:val="en-US"/>
        </w:rPr>
      </w:pPr>
    </w:p>
    <w:p w14:paraId="67C22128" w14:textId="35FE3384" w:rsidR="00205903" w:rsidRPr="0012787E" w:rsidRDefault="0012787E" w:rsidP="00314D21">
      <w:pPr>
        <w:spacing w:after="0" w:line="240" w:lineRule="auto"/>
        <w:jc w:val="both"/>
        <w:rPr>
          <w:sz w:val="18"/>
          <w:szCs w:val="18"/>
          <w:lang w:val="en-US"/>
        </w:rPr>
      </w:pPr>
      <w:r w:rsidRPr="00DF124A">
        <w:rPr>
          <w:sz w:val="18"/>
          <w:szCs w:val="18"/>
          <w:lang w:val="en-GB"/>
        </w:rPr>
        <w:t xml:space="preserve">Table 1. </w:t>
      </w:r>
      <w:r w:rsidRPr="0012787E">
        <w:rPr>
          <w:sz w:val="18"/>
          <w:szCs w:val="18"/>
          <w:lang w:val="en-US"/>
        </w:rPr>
        <w:t>Mean annual increase in background CO</w:t>
      </w:r>
      <w:r w:rsidRPr="00DF124A">
        <w:rPr>
          <w:sz w:val="18"/>
          <w:szCs w:val="18"/>
          <w:vertAlign w:val="subscript"/>
          <w:lang w:val="en-US"/>
        </w:rPr>
        <w:t>2</w:t>
      </w:r>
      <w:r w:rsidRPr="0012787E">
        <w:rPr>
          <w:sz w:val="18"/>
          <w:szCs w:val="18"/>
          <w:lang w:val="en-US"/>
        </w:rPr>
        <w:t xml:space="preserve"> concentration (ppm/year) in IZO and MLO for different time periods.</w:t>
      </w:r>
    </w:p>
    <w:p w14:paraId="3FB9CA09" w14:textId="77777777" w:rsidR="00FE2373" w:rsidRPr="0012787E" w:rsidRDefault="00FE2373" w:rsidP="00314D21">
      <w:pPr>
        <w:spacing w:after="0" w:line="240" w:lineRule="auto"/>
        <w:jc w:val="both"/>
        <w:rPr>
          <w:sz w:val="18"/>
          <w:szCs w:val="18"/>
          <w:lang w:val="en-US"/>
        </w:rPr>
      </w:pPr>
    </w:p>
    <w:tbl>
      <w:tblPr>
        <w:tblStyle w:val="Tablaconcuadrcula"/>
        <w:tblW w:w="0" w:type="auto"/>
        <w:tblInd w:w="-5" w:type="dxa"/>
        <w:tblBorders>
          <w:left w:val="none" w:sz="0" w:space="0" w:color="auto"/>
          <w:right w:val="none" w:sz="0" w:space="0" w:color="auto"/>
          <w:insideH w:val="none" w:sz="0" w:space="0" w:color="auto"/>
        </w:tblBorders>
        <w:tblLook w:val="04A0" w:firstRow="1" w:lastRow="0" w:firstColumn="1" w:lastColumn="0" w:noHBand="0" w:noVBand="1"/>
      </w:tblPr>
      <w:tblGrid>
        <w:gridCol w:w="2459"/>
        <w:gridCol w:w="2473"/>
        <w:gridCol w:w="2474"/>
      </w:tblGrid>
      <w:tr w:rsidR="00800665" w:rsidRPr="00C92DE9" w14:paraId="3EFCDEDD" w14:textId="77777777" w:rsidTr="009A074E">
        <w:trPr>
          <w:trHeight w:val="234"/>
        </w:trPr>
        <w:tc>
          <w:tcPr>
            <w:tcW w:w="2459" w:type="dxa"/>
            <w:tcBorders>
              <w:top w:val="single" w:sz="4" w:space="0" w:color="auto"/>
              <w:bottom w:val="single" w:sz="4" w:space="0" w:color="auto"/>
            </w:tcBorders>
            <w:vAlign w:val="center"/>
          </w:tcPr>
          <w:p w14:paraId="773B7BF1" w14:textId="77777777" w:rsidR="00800665" w:rsidRPr="0012787E" w:rsidRDefault="00800665" w:rsidP="00314D21">
            <w:pPr>
              <w:jc w:val="center"/>
              <w:rPr>
                <w:b/>
                <w:lang w:val="en-US"/>
              </w:rPr>
            </w:pPr>
          </w:p>
        </w:tc>
        <w:tc>
          <w:tcPr>
            <w:tcW w:w="4947" w:type="dxa"/>
            <w:gridSpan w:val="2"/>
            <w:tcBorders>
              <w:top w:val="single" w:sz="4" w:space="0" w:color="auto"/>
              <w:bottom w:val="single" w:sz="4" w:space="0" w:color="auto"/>
            </w:tcBorders>
            <w:vAlign w:val="center"/>
          </w:tcPr>
          <w:p w14:paraId="12E03924" w14:textId="34F591A8" w:rsidR="00800665" w:rsidRPr="0012787E" w:rsidDel="00800665" w:rsidRDefault="0012787E" w:rsidP="00314D21">
            <w:pPr>
              <w:jc w:val="center"/>
              <w:rPr>
                <w:b/>
                <w:lang w:val="en-US"/>
              </w:rPr>
            </w:pPr>
            <w:r w:rsidRPr="0012787E">
              <w:rPr>
                <w:b/>
                <w:lang w:val="en-US"/>
              </w:rPr>
              <w:t>Mean annual increase in background CO</w:t>
            </w:r>
            <w:r w:rsidRPr="00DF124A">
              <w:rPr>
                <w:b/>
                <w:vertAlign w:val="subscript"/>
                <w:lang w:val="en-US"/>
              </w:rPr>
              <w:t>2</w:t>
            </w:r>
            <w:r w:rsidRPr="0012787E">
              <w:rPr>
                <w:b/>
                <w:lang w:val="en-US"/>
              </w:rPr>
              <w:t xml:space="preserve"> concentration (ppm/year)</w:t>
            </w:r>
          </w:p>
        </w:tc>
      </w:tr>
      <w:tr w:rsidR="00F33B8A" w14:paraId="7AB65529" w14:textId="3DBD1E0A" w:rsidTr="00FE2373">
        <w:trPr>
          <w:trHeight w:val="234"/>
        </w:trPr>
        <w:tc>
          <w:tcPr>
            <w:tcW w:w="2459" w:type="dxa"/>
            <w:tcBorders>
              <w:top w:val="single" w:sz="4" w:space="0" w:color="auto"/>
              <w:bottom w:val="single" w:sz="4" w:space="0" w:color="auto"/>
            </w:tcBorders>
            <w:vAlign w:val="center"/>
          </w:tcPr>
          <w:p w14:paraId="6E274FF8" w14:textId="364D4BD8" w:rsidR="00F33B8A" w:rsidRPr="0012787E" w:rsidRDefault="0012787E" w:rsidP="00314D21">
            <w:pPr>
              <w:jc w:val="center"/>
              <w:rPr>
                <w:b/>
                <w:lang w:val="en-US"/>
              </w:rPr>
            </w:pPr>
            <w:proofErr w:type="spellStart"/>
            <w:r w:rsidRPr="0012787E">
              <w:rPr>
                <w:b/>
              </w:rPr>
              <w:t>Period</w:t>
            </w:r>
            <w:proofErr w:type="spellEnd"/>
            <w:r w:rsidRPr="0012787E">
              <w:rPr>
                <w:b/>
              </w:rPr>
              <w:t xml:space="preserve"> </w:t>
            </w:r>
            <w:proofErr w:type="spellStart"/>
            <w:r w:rsidRPr="0012787E">
              <w:rPr>
                <w:b/>
              </w:rPr>
              <w:t>studied</w:t>
            </w:r>
            <w:proofErr w:type="spellEnd"/>
          </w:p>
        </w:tc>
        <w:tc>
          <w:tcPr>
            <w:tcW w:w="2473" w:type="dxa"/>
            <w:tcBorders>
              <w:top w:val="single" w:sz="4" w:space="0" w:color="auto"/>
              <w:bottom w:val="single" w:sz="4" w:space="0" w:color="auto"/>
            </w:tcBorders>
            <w:vAlign w:val="center"/>
          </w:tcPr>
          <w:p w14:paraId="7533C265" w14:textId="4BB90CBD" w:rsidR="00F33B8A" w:rsidRPr="00B046B3" w:rsidRDefault="00F33B8A" w:rsidP="00800665">
            <w:pPr>
              <w:jc w:val="center"/>
              <w:rPr>
                <w:b/>
              </w:rPr>
            </w:pPr>
            <w:r w:rsidRPr="0012787E">
              <w:rPr>
                <w:b/>
                <w:lang w:val="en-US"/>
              </w:rPr>
              <w:t xml:space="preserve"> </w:t>
            </w:r>
            <w:r w:rsidRPr="00B046B3">
              <w:rPr>
                <w:b/>
              </w:rPr>
              <w:t>IZO</w:t>
            </w:r>
            <w:r>
              <w:rPr>
                <w:b/>
              </w:rPr>
              <w:t xml:space="preserve"> </w:t>
            </w:r>
          </w:p>
        </w:tc>
        <w:tc>
          <w:tcPr>
            <w:tcW w:w="2474" w:type="dxa"/>
            <w:tcBorders>
              <w:top w:val="single" w:sz="4" w:space="0" w:color="auto"/>
              <w:bottom w:val="single" w:sz="4" w:space="0" w:color="auto"/>
            </w:tcBorders>
            <w:vAlign w:val="center"/>
          </w:tcPr>
          <w:p w14:paraId="5DB58CB5" w14:textId="1E0AEDEC" w:rsidR="00F33B8A" w:rsidRPr="00B046B3" w:rsidRDefault="00F33B8A" w:rsidP="00800665">
            <w:pPr>
              <w:jc w:val="center"/>
              <w:rPr>
                <w:b/>
              </w:rPr>
            </w:pPr>
            <w:r w:rsidRPr="00B046B3">
              <w:rPr>
                <w:b/>
              </w:rPr>
              <w:t>MLO</w:t>
            </w:r>
            <w:r>
              <w:rPr>
                <w:b/>
              </w:rPr>
              <w:t xml:space="preserve"> </w:t>
            </w:r>
          </w:p>
        </w:tc>
      </w:tr>
      <w:tr w:rsidR="00F33B8A" w14:paraId="5DE7E028" w14:textId="080EBA96" w:rsidTr="00FE2373">
        <w:trPr>
          <w:trHeight w:val="225"/>
        </w:trPr>
        <w:tc>
          <w:tcPr>
            <w:tcW w:w="2459" w:type="dxa"/>
            <w:tcBorders>
              <w:top w:val="single" w:sz="4" w:space="0" w:color="auto"/>
            </w:tcBorders>
          </w:tcPr>
          <w:p w14:paraId="3FEDF22B" w14:textId="01EF0EF4" w:rsidR="00F33B8A" w:rsidRDefault="00F33B8A" w:rsidP="00314D21">
            <w:pPr>
              <w:jc w:val="center"/>
            </w:pPr>
            <w:r>
              <w:t>1984-1993</w:t>
            </w:r>
          </w:p>
        </w:tc>
        <w:tc>
          <w:tcPr>
            <w:tcW w:w="2473" w:type="dxa"/>
            <w:tcBorders>
              <w:top w:val="single" w:sz="4" w:space="0" w:color="auto"/>
            </w:tcBorders>
          </w:tcPr>
          <w:p w14:paraId="2670213B" w14:textId="0377C2EF" w:rsidR="00F33B8A" w:rsidRDefault="00F33B8A" w:rsidP="00D63CC0">
            <w:pPr>
              <w:jc w:val="center"/>
            </w:pPr>
            <w:r>
              <w:t>1.26</w:t>
            </w:r>
          </w:p>
        </w:tc>
        <w:tc>
          <w:tcPr>
            <w:tcW w:w="2474" w:type="dxa"/>
            <w:tcBorders>
              <w:top w:val="single" w:sz="4" w:space="0" w:color="auto"/>
            </w:tcBorders>
          </w:tcPr>
          <w:p w14:paraId="36B7A475" w14:textId="20F1BFC2" w:rsidR="00F33B8A" w:rsidRDefault="00F33B8A" w:rsidP="00314D21">
            <w:pPr>
              <w:jc w:val="center"/>
            </w:pPr>
            <w:r>
              <w:t>1.36</w:t>
            </w:r>
          </w:p>
        </w:tc>
      </w:tr>
      <w:tr w:rsidR="00F33B8A" w14:paraId="67C07E44" w14:textId="27AEE899" w:rsidTr="00FE2373">
        <w:trPr>
          <w:trHeight w:val="234"/>
        </w:trPr>
        <w:tc>
          <w:tcPr>
            <w:tcW w:w="2459" w:type="dxa"/>
          </w:tcPr>
          <w:p w14:paraId="4D88E8FF" w14:textId="1FE10BD7" w:rsidR="00F33B8A" w:rsidRDefault="00F33B8A" w:rsidP="00314D21">
            <w:pPr>
              <w:jc w:val="center"/>
            </w:pPr>
            <w:r>
              <w:t>1994-2003</w:t>
            </w:r>
          </w:p>
        </w:tc>
        <w:tc>
          <w:tcPr>
            <w:tcW w:w="2473" w:type="dxa"/>
          </w:tcPr>
          <w:p w14:paraId="185F4C6A" w14:textId="0F836DCE" w:rsidR="00F33B8A" w:rsidRDefault="00F33B8A" w:rsidP="00314D21">
            <w:pPr>
              <w:jc w:val="center"/>
            </w:pPr>
            <w:r>
              <w:t>1.99</w:t>
            </w:r>
          </w:p>
        </w:tc>
        <w:tc>
          <w:tcPr>
            <w:tcW w:w="2474" w:type="dxa"/>
          </w:tcPr>
          <w:p w14:paraId="1B0346D1" w14:textId="091F9FC5" w:rsidR="00F33B8A" w:rsidRDefault="00F33B8A" w:rsidP="00314D21">
            <w:pPr>
              <w:jc w:val="center"/>
            </w:pPr>
            <w:r>
              <w:t>1.91</w:t>
            </w:r>
          </w:p>
        </w:tc>
      </w:tr>
      <w:tr w:rsidR="00F33B8A" w14:paraId="7A03AFE8" w14:textId="2362EC09" w:rsidTr="00FE2373">
        <w:trPr>
          <w:trHeight w:val="225"/>
        </w:trPr>
        <w:tc>
          <w:tcPr>
            <w:tcW w:w="2459" w:type="dxa"/>
          </w:tcPr>
          <w:p w14:paraId="4C5AF35E" w14:textId="13A87950" w:rsidR="00F33B8A" w:rsidRDefault="00F33B8A" w:rsidP="00314D21">
            <w:pPr>
              <w:jc w:val="center"/>
            </w:pPr>
            <w:r>
              <w:t>2004-2014</w:t>
            </w:r>
          </w:p>
        </w:tc>
        <w:tc>
          <w:tcPr>
            <w:tcW w:w="2473" w:type="dxa"/>
          </w:tcPr>
          <w:p w14:paraId="583734AA" w14:textId="7AC0E80A" w:rsidR="00F33B8A" w:rsidRDefault="00F33B8A" w:rsidP="00314D21">
            <w:pPr>
              <w:jc w:val="center"/>
            </w:pPr>
            <w:r>
              <w:t>2.05</w:t>
            </w:r>
          </w:p>
        </w:tc>
        <w:tc>
          <w:tcPr>
            <w:tcW w:w="2474" w:type="dxa"/>
          </w:tcPr>
          <w:p w14:paraId="58EC3D97" w14:textId="5F0C9AF2" w:rsidR="00F33B8A" w:rsidRDefault="00F33B8A" w:rsidP="00314D21">
            <w:pPr>
              <w:jc w:val="center"/>
            </w:pPr>
            <w:r>
              <w:t>2.07</w:t>
            </w:r>
          </w:p>
        </w:tc>
      </w:tr>
      <w:tr w:rsidR="00821A06" w14:paraId="6FC3D5BE" w14:textId="77777777" w:rsidTr="00FE2373">
        <w:trPr>
          <w:trHeight w:val="225"/>
        </w:trPr>
        <w:tc>
          <w:tcPr>
            <w:tcW w:w="2459" w:type="dxa"/>
          </w:tcPr>
          <w:p w14:paraId="119D5552" w14:textId="3AC2D1CA" w:rsidR="00821A06" w:rsidRDefault="00821A06" w:rsidP="00821A06">
            <w:pPr>
              <w:jc w:val="center"/>
            </w:pPr>
            <w:r>
              <w:t>2015-2022</w:t>
            </w:r>
          </w:p>
        </w:tc>
        <w:tc>
          <w:tcPr>
            <w:tcW w:w="2473" w:type="dxa"/>
          </w:tcPr>
          <w:p w14:paraId="5BDED665" w14:textId="4AE883C9" w:rsidR="00821A06" w:rsidRDefault="00821A06" w:rsidP="00821A06">
            <w:pPr>
              <w:jc w:val="center"/>
            </w:pPr>
            <w:r>
              <w:t>2.55</w:t>
            </w:r>
          </w:p>
        </w:tc>
        <w:tc>
          <w:tcPr>
            <w:tcW w:w="2474" w:type="dxa"/>
          </w:tcPr>
          <w:p w14:paraId="0ED3D5F5" w14:textId="5514A0DE" w:rsidR="00821A06" w:rsidRDefault="00821A06" w:rsidP="00821A06">
            <w:pPr>
              <w:jc w:val="center"/>
            </w:pPr>
            <w:r>
              <w:t>2.54</w:t>
            </w:r>
          </w:p>
        </w:tc>
      </w:tr>
    </w:tbl>
    <w:p w14:paraId="0B183ACF" w14:textId="77777777" w:rsidR="007609A2" w:rsidRDefault="007609A2" w:rsidP="00337239">
      <w:pPr>
        <w:jc w:val="both"/>
      </w:pPr>
    </w:p>
    <w:p w14:paraId="5BA9E21F" w14:textId="77777777" w:rsidR="0012787E" w:rsidRDefault="0012787E" w:rsidP="00A25798">
      <w:pPr>
        <w:jc w:val="both"/>
        <w:rPr>
          <w:lang w:val="en-US"/>
        </w:rPr>
      </w:pPr>
      <w:r w:rsidRPr="0012787E">
        <w:rPr>
          <w:lang w:val="en-US"/>
        </w:rPr>
        <w:t>This means that international commitments to reduce CO</w:t>
      </w:r>
      <w:r w:rsidRPr="00DF124A">
        <w:rPr>
          <w:vertAlign w:val="subscript"/>
          <w:lang w:val="en-US"/>
        </w:rPr>
        <w:t>2</w:t>
      </w:r>
      <w:r w:rsidRPr="0012787E">
        <w:rPr>
          <w:lang w:val="en-US"/>
        </w:rPr>
        <w:t xml:space="preserve"> emissions have not been met, registering an increase in CO</w:t>
      </w:r>
      <w:r w:rsidRPr="00DF124A">
        <w:rPr>
          <w:vertAlign w:val="subscript"/>
          <w:lang w:val="en-US"/>
        </w:rPr>
        <w:t>2</w:t>
      </w:r>
      <w:r w:rsidRPr="0012787E">
        <w:rPr>
          <w:lang w:val="en-US"/>
        </w:rPr>
        <w:t xml:space="preserve"> and other greenhouse gas emissions globally. Even if CO</w:t>
      </w:r>
      <w:r w:rsidRPr="00DF124A">
        <w:rPr>
          <w:vertAlign w:val="subscript"/>
          <w:lang w:val="en-US"/>
        </w:rPr>
        <w:t>2</w:t>
      </w:r>
      <w:r w:rsidRPr="0012787E">
        <w:rPr>
          <w:lang w:val="en-US"/>
        </w:rPr>
        <w:t xml:space="preserve"> emissions were to stabilize or decrease, it would take quite a long time to register a change in the trend of atmospheric CO</w:t>
      </w:r>
      <w:r w:rsidRPr="00DF124A">
        <w:rPr>
          <w:vertAlign w:val="subscript"/>
          <w:lang w:val="en-US"/>
        </w:rPr>
        <w:t>2</w:t>
      </w:r>
      <w:r w:rsidRPr="0012787E">
        <w:rPr>
          <w:lang w:val="en-US"/>
        </w:rPr>
        <w:t xml:space="preserve"> concentration.</w:t>
      </w:r>
    </w:p>
    <w:p w14:paraId="5415F778" w14:textId="58CB2756" w:rsidR="0012787E" w:rsidRDefault="0012787E" w:rsidP="00DE0FE9">
      <w:pPr>
        <w:jc w:val="both"/>
        <w:rPr>
          <w:lang w:val="en-US"/>
        </w:rPr>
      </w:pPr>
      <w:r w:rsidRPr="0012787E">
        <w:rPr>
          <w:lang w:val="en-US"/>
        </w:rPr>
        <w:t xml:space="preserve">IZO and MLO are part of the Global </w:t>
      </w:r>
      <w:r w:rsidR="001B011E">
        <w:rPr>
          <w:lang w:val="en-US"/>
        </w:rPr>
        <w:t>Atmosphere</w:t>
      </w:r>
      <w:r w:rsidRPr="0012787E">
        <w:rPr>
          <w:lang w:val="en-US"/>
        </w:rPr>
        <w:t xml:space="preserve"> Watch (GAW) Program of the World Meteorological Organization (WMO). In January 2021, Spain officially joined the European research infrastructure Integrated Carbon Observation System (ICOS), where IZO was proposed as the first atmospheric station of the Spanish node. The national network, ICOS-Spain, is in a process of growth and, for this, it has incorporated the atmospheric station of El </w:t>
      </w:r>
      <w:proofErr w:type="spellStart"/>
      <w:r w:rsidRPr="0012787E">
        <w:rPr>
          <w:lang w:val="en-US"/>
        </w:rPr>
        <w:t>Arenosillo</w:t>
      </w:r>
      <w:proofErr w:type="spellEnd"/>
      <w:r w:rsidRPr="0012787E">
        <w:rPr>
          <w:lang w:val="en-US"/>
        </w:rPr>
        <w:t xml:space="preserve">-Huelva (INTA) into its network in 2022. In 2023 the ecosystem station of </w:t>
      </w:r>
      <w:proofErr w:type="spellStart"/>
      <w:r w:rsidRPr="0012787E">
        <w:rPr>
          <w:lang w:val="en-US"/>
        </w:rPr>
        <w:t>Majadas</w:t>
      </w:r>
      <w:proofErr w:type="spellEnd"/>
      <w:r w:rsidRPr="0012787E">
        <w:rPr>
          <w:lang w:val="en-US"/>
        </w:rPr>
        <w:t xml:space="preserve"> de </w:t>
      </w:r>
      <w:proofErr w:type="spellStart"/>
      <w:r w:rsidRPr="0012787E">
        <w:rPr>
          <w:lang w:val="en-US"/>
        </w:rPr>
        <w:t>Tiéta</w:t>
      </w:r>
      <w:r w:rsidR="001B011E">
        <w:rPr>
          <w:lang w:val="en-US"/>
        </w:rPr>
        <w:t>r</w:t>
      </w:r>
      <w:proofErr w:type="spellEnd"/>
      <w:r w:rsidR="001B011E">
        <w:rPr>
          <w:lang w:val="en-US"/>
        </w:rPr>
        <w:t xml:space="preserve"> and the oceanic station ESTOC will be incorporated.</w:t>
      </w:r>
    </w:p>
    <w:p w14:paraId="6523C15B" w14:textId="3828DF12" w:rsidR="00AC0E8E" w:rsidRPr="003E7BF4" w:rsidRDefault="00F46986" w:rsidP="00DE0FE9">
      <w:pPr>
        <w:jc w:val="both"/>
        <w:rPr>
          <w:b/>
          <w:color w:val="000000" w:themeColor="text1"/>
          <w:lang w:val="en-GB"/>
        </w:rPr>
      </w:pPr>
      <w:r w:rsidRPr="003E7BF4">
        <w:rPr>
          <w:b/>
          <w:color w:val="000000" w:themeColor="text1"/>
          <w:lang w:val="en-GB"/>
        </w:rPr>
        <w:t>Referenc</w:t>
      </w:r>
      <w:r w:rsidR="0012787E">
        <w:rPr>
          <w:b/>
          <w:color w:val="000000" w:themeColor="text1"/>
          <w:lang w:val="en-GB"/>
        </w:rPr>
        <w:t>es</w:t>
      </w:r>
      <w:r w:rsidRPr="003E7BF4">
        <w:rPr>
          <w:b/>
          <w:color w:val="000000" w:themeColor="text1"/>
          <w:lang w:val="en-GB"/>
        </w:rPr>
        <w:t>:</w:t>
      </w:r>
    </w:p>
    <w:p w14:paraId="520343B8" w14:textId="7C669C47" w:rsidR="00D843F8" w:rsidRPr="003E7BF4" w:rsidRDefault="00D843F8" w:rsidP="00D843F8">
      <w:pPr>
        <w:pStyle w:val="volume-issue"/>
        <w:shd w:val="clear" w:color="auto" w:fill="FFFFFF"/>
        <w:jc w:val="both"/>
        <w:rPr>
          <w:rFonts w:asciiTheme="minorHAnsi" w:eastAsiaTheme="minorHAnsi" w:hAnsiTheme="minorHAnsi" w:cstheme="minorHAnsi"/>
          <w:color w:val="333333"/>
          <w:sz w:val="22"/>
          <w:szCs w:val="22"/>
          <w:shd w:val="clear" w:color="auto" w:fill="FFFFFF"/>
          <w:lang w:val="en-GB" w:eastAsia="en-US"/>
        </w:rPr>
      </w:pPr>
      <w:r w:rsidRPr="003E7BF4">
        <w:rPr>
          <w:rFonts w:asciiTheme="minorHAnsi" w:eastAsiaTheme="minorHAnsi" w:hAnsiTheme="minorHAnsi" w:cstheme="minorHAnsi"/>
          <w:color w:val="333333"/>
          <w:sz w:val="22"/>
          <w:szCs w:val="22"/>
          <w:shd w:val="clear" w:color="auto" w:fill="FFFFFF"/>
          <w:lang w:val="en-GB" w:eastAsia="en-US"/>
        </w:rPr>
        <w:t xml:space="preserve">[1] Keeling, C.D., </w:t>
      </w:r>
      <w:proofErr w:type="spellStart"/>
      <w:r w:rsidRPr="003E7BF4">
        <w:rPr>
          <w:rFonts w:asciiTheme="minorHAnsi" w:eastAsiaTheme="minorHAnsi" w:hAnsiTheme="minorHAnsi" w:cstheme="minorHAnsi"/>
          <w:color w:val="333333"/>
          <w:sz w:val="22"/>
          <w:szCs w:val="22"/>
          <w:shd w:val="clear" w:color="auto" w:fill="FFFFFF"/>
          <w:lang w:val="en-GB" w:eastAsia="en-US"/>
        </w:rPr>
        <w:t>Bacastow</w:t>
      </w:r>
      <w:proofErr w:type="spellEnd"/>
      <w:r w:rsidRPr="003E7BF4">
        <w:rPr>
          <w:rFonts w:asciiTheme="minorHAnsi" w:eastAsiaTheme="minorHAnsi" w:hAnsiTheme="minorHAnsi" w:cstheme="minorHAnsi"/>
          <w:color w:val="333333"/>
          <w:sz w:val="22"/>
          <w:szCs w:val="22"/>
          <w:shd w:val="clear" w:color="auto" w:fill="FFFFFF"/>
          <w:lang w:val="en-GB" w:eastAsia="en-US"/>
        </w:rPr>
        <w:t xml:space="preserve">, R.B., Bainbridge, A.E., </w:t>
      </w:r>
      <w:proofErr w:type="spellStart"/>
      <w:r w:rsidRPr="003E7BF4">
        <w:rPr>
          <w:rFonts w:asciiTheme="minorHAnsi" w:eastAsiaTheme="minorHAnsi" w:hAnsiTheme="minorHAnsi" w:cstheme="minorHAnsi"/>
          <w:color w:val="333333"/>
          <w:sz w:val="22"/>
          <w:szCs w:val="22"/>
          <w:shd w:val="clear" w:color="auto" w:fill="FFFFFF"/>
          <w:lang w:val="en-GB" w:eastAsia="en-US"/>
        </w:rPr>
        <w:t>Ekdahl</w:t>
      </w:r>
      <w:proofErr w:type="spellEnd"/>
      <w:r w:rsidRPr="003E7BF4">
        <w:rPr>
          <w:rFonts w:asciiTheme="minorHAnsi" w:eastAsiaTheme="minorHAnsi" w:hAnsiTheme="minorHAnsi" w:cstheme="minorHAnsi"/>
          <w:color w:val="333333"/>
          <w:sz w:val="22"/>
          <w:szCs w:val="22"/>
          <w:shd w:val="clear" w:color="auto" w:fill="FFFFFF"/>
          <w:lang w:val="en-GB" w:eastAsia="en-US"/>
        </w:rPr>
        <w:t xml:space="preserve">, C.A., Jr., Guenther, P.R., Waterman, L.S. and Chin, J.F.S. (1976), Atmospheric carbon dioxide variations at Mauna Loa Observatory, Hawaii. </w:t>
      </w:r>
      <w:proofErr w:type="spellStart"/>
      <w:r w:rsidRPr="003E7BF4">
        <w:rPr>
          <w:rFonts w:asciiTheme="minorHAnsi" w:eastAsiaTheme="minorHAnsi" w:hAnsiTheme="minorHAnsi" w:cstheme="minorHAnsi"/>
          <w:color w:val="333333"/>
          <w:sz w:val="22"/>
          <w:szCs w:val="22"/>
          <w:shd w:val="clear" w:color="auto" w:fill="FFFFFF"/>
          <w:lang w:val="en-GB" w:eastAsia="en-US"/>
        </w:rPr>
        <w:t>Tellus</w:t>
      </w:r>
      <w:proofErr w:type="spellEnd"/>
      <w:r w:rsidRPr="003E7BF4">
        <w:rPr>
          <w:rFonts w:asciiTheme="minorHAnsi" w:eastAsiaTheme="minorHAnsi" w:hAnsiTheme="minorHAnsi" w:cstheme="minorHAnsi"/>
          <w:color w:val="333333"/>
          <w:sz w:val="22"/>
          <w:szCs w:val="22"/>
          <w:shd w:val="clear" w:color="auto" w:fill="FFFFFF"/>
          <w:lang w:val="en-GB" w:eastAsia="en-US"/>
        </w:rPr>
        <w:t>, 28: 538-551. </w:t>
      </w:r>
      <w:hyperlink r:id="rId13" w:history="1">
        <w:r w:rsidRPr="003E7BF4">
          <w:rPr>
            <w:rFonts w:asciiTheme="minorHAnsi" w:eastAsiaTheme="minorHAnsi" w:hAnsiTheme="minorHAnsi" w:cstheme="minorHAnsi"/>
            <w:color w:val="333333"/>
            <w:sz w:val="22"/>
            <w:szCs w:val="22"/>
            <w:shd w:val="clear" w:color="auto" w:fill="FFFFFF"/>
            <w:lang w:val="en-GB" w:eastAsia="en-US"/>
          </w:rPr>
          <w:t>https://doi.org/10.1111/j.2153-3490.1976.tb00701.x</w:t>
        </w:r>
      </w:hyperlink>
    </w:p>
    <w:p w14:paraId="07864463" w14:textId="1EA6F360" w:rsidR="00D843F8" w:rsidRPr="003E7BF4" w:rsidRDefault="00D843F8" w:rsidP="00D843F8">
      <w:pPr>
        <w:pStyle w:val="volume-issue"/>
        <w:shd w:val="clear" w:color="auto" w:fill="FFFFFF"/>
        <w:jc w:val="both"/>
        <w:rPr>
          <w:rFonts w:asciiTheme="minorHAnsi" w:eastAsiaTheme="minorHAnsi" w:hAnsiTheme="minorHAnsi" w:cstheme="minorHAnsi"/>
          <w:color w:val="333333"/>
          <w:sz w:val="22"/>
          <w:szCs w:val="22"/>
          <w:shd w:val="clear" w:color="auto" w:fill="FFFFFF"/>
          <w:lang w:val="en-GB" w:eastAsia="en-US"/>
        </w:rPr>
      </w:pPr>
      <w:r w:rsidRPr="003E7BF4">
        <w:rPr>
          <w:rFonts w:asciiTheme="minorHAnsi" w:eastAsiaTheme="minorHAnsi" w:hAnsiTheme="minorHAnsi" w:cstheme="minorHAnsi"/>
          <w:color w:val="333333"/>
          <w:sz w:val="22"/>
          <w:szCs w:val="22"/>
          <w:shd w:val="clear" w:color="auto" w:fill="FFFFFF"/>
          <w:lang w:val="en-GB" w:eastAsia="en-US"/>
        </w:rPr>
        <w:t xml:space="preserve">[2] </w:t>
      </w:r>
      <w:proofErr w:type="spellStart"/>
      <w:r w:rsidRPr="003E7BF4">
        <w:rPr>
          <w:rFonts w:asciiTheme="minorHAnsi" w:eastAsiaTheme="minorHAnsi" w:hAnsiTheme="minorHAnsi" w:cstheme="minorHAnsi"/>
          <w:color w:val="333333"/>
          <w:sz w:val="22"/>
          <w:szCs w:val="22"/>
          <w:shd w:val="clear" w:color="auto" w:fill="FFFFFF"/>
          <w:lang w:val="en-GB" w:eastAsia="en-US"/>
        </w:rPr>
        <w:t>Thoning</w:t>
      </w:r>
      <w:proofErr w:type="spellEnd"/>
      <w:r w:rsidRPr="003E7BF4">
        <w:rPr>
          <w:rFonts w:asciiTheme="minorHAnsi" w:eastAsiaTheme="minorHAnsi" w:hAnsiTheme="minorHAnsi" w:cstheme="minorHAnsi"/>
          <w:color w:val="333333"/>
          <w:sz w:val="22"/>
          <w:szCs w:val="22"/>
          <w:shd w:val="clear" w:color="auto" w:fill="FFFFFF"/>
          <w:lang w:val="en-GB" w:eastAsia="en-US"/>
        </w:rPr>
        <w:t xml:space="preserve">, K. W., P. P. Tans and W.D. </w:t>
      </w:r>
      <w:proofErr w:type="spellStart"/>
      <w:r w:rsidRPr="003E7BF4">
        <w:rPr>
          <w:rFonts w:asciiTheme="minorHAnsi" w:eastAsiaTheme="minorHAnsi" w:hAnsiTheme="minorHAnsi" w:cstheme="minorHAnsi"/>
          <w:color w:val="333333"/>
          <w:sz w:val="22"/>
          <w:szCs w:val="22"/>
          <w:shd w:val="clear" w:color="auto" w:fill="FFFFFF"/>
          <w:lang w:val="en-GB" w:eastAsia="en-US"/>
        </w:rPr>
        <w:t>Komhyr</w:t>
      </w:r>
      <w:proofErr w:type="spellEnd"/>
      <w:r w:rsidRPr="003E7BF4">
        <w:rPr>
          <w:rFonts w:asciiTheme="minorHAnsi" w:eastAsiaTheme="minorHAnsi" w:hAnsiTheme="minorHAnsi" w:cstheme="minorHAnsi"/>
          <w:color w:val="333333"/>
          <w:sz w:val="22"/>
          <w:szCs w:val="22"/>
          <w:shd w:val="clear" w:color="auto" w:fill="FFFFFF"/>
          <w:lang w:val="en-GB" w:eastAsia="en-US"/>
        </w:rPr>
        <w:t>, (1989), </w:t>
      </w:r>
      <w:hyperlink r:id="rId14" w:history="1">
        <w:r w:rsidRPr="003E7BF4">
          <w:rPr>
            <w:rFonts w:asciiTheme="minorHAnsi" w:eastAsiaTheme="minorHAnsi" w:hAnsiTheme="minorHAnsi" w:cstheme="minorHAnsi"/>
            <w:color w:val="333333"/>
            <w:sz w:val="22"/>
            <w:szCs w:val="22"/>
            <w:shd w:val="clear" w:color="auto" w:fill="FFFFFF"/>
            <w:lang w:val="en-GB" w:eastAsia="en-US"/>
          </w:rPr>
          <w:t>Atmospheric Carbon Dioxide at Mauna Loa Observatory 2. Analysis of the NOAA GMCC Data, 1974-1985</w:t>
        </w:r>
      </w:hyperlink>
      <w:r w:rsidRPr="003E7BF4">
        <w:rPr>
          <w:rFonts w:asciiTheme="minorHAnsi" w:eastAsiaTheme="minorHAnsi" w:hAnsiTheme="minorHAnsi" w:cstheme="minorHAnsi"/>
          <w:color w:val="333333"/>
          <w:sz w:val="22"/>
          <w:szCs w:val="22"/>
          <w:shd w:val="clear" w:color="auto" w:fill="FFFFFF"/>
          <w:lang w:val="en-GB" w:eastAsia="en-US"/>
        </w:rPr>
        <w:t>, Journal of</w:t>
      </w:r>
      <w:r w:rsidRPr="003E7BF4">
        <w:rPr>
          <w:rFonts w:asciiTheme="minorHAnsi" w:eastAsiaTheme="minorHAnsi" w:hAnsiTheme="minorHAnsi" w:cstheme="minorHAnsi"/>
          <w:i/>
          <w:iCs/>
          <w:color w:val="333333"/>
          <w:sz w:val="22"/>
          <w:szCs w:val="22"/>
          <w:lang w:val="en-GB" w:eastAsia="en-US"/>
        </w:rPr>
        <w:t xml:space="preserve"> Geophysical Research-Atmospheres</w:t>
      </w:r>
      <w:r w:rsidRPr="003E7BF4">
        <w:rPr>
          <w:rFonts w:asciiTheme="minorHAnsi" w:eastAsiaTheme="minorHAnsi" w:hAnsiTheme="minorHAnsi" w:cstheme="minorHAnsi"/>
          <w:color w:val="333333"/>
          <w:sz w:val="22"/>
          <w:szCs w:val="22"/>
          <w:shd w:val="clear" w:color="auto" w:fill="FFFFFF"/>
          <w:lang w:val="en-GB" w:eastAsia="en-US"/>
        </w:rPr>
        <w:t>, 94, D6, 8549-8565, JD094iD06p0854</w:t>
      </w:r>
    </w:p>
    <w:p w14:paraId="6220D626" w14:textId="265F5C87" w:rsidR="00D843F8" w:rsidRPr="003E7BF4" w:rsidRDefault="00D843F8" w:rsidP="00D843F8">
      <w:pPr>
        <w:pStyle w:val="volume-issue"/>
        <w:shd w:val="clear" w:color="auto" w:fill="FFFFFF"/>
        <w:jc w:val="both"/>
        <w:rPr>
          <w:rFonts w:asciiTheme="minorHAnsi" w:eastAsiaTheme="minorHAnsi" w:hAnsiTheme="minorHAnsi" w:cstheme="minorHAnsi"/>
          <w:color w:val="333333"/>
          <w:sz w:val="22"/>
          <w:szCs w:val="22"/>
          <w:shd w:val="clear" w:color="auto" w:fill="FFFFFF"/>
          <w:lang w:val="en-GB" w:eastAsia="en-US"/>
        </w:rPr>
      </w:pPr>
      <w:r w:rsidRPr="003E7BF4">
        <w:rPr>
          <w:rFonts w:asciiTheme="minorHAnsi" w:eastAsiaTheme="minorHAnsi" w:hAnsiTheme="minorHAnsi" w:cstheme="minorHAnsi"/>
          <w:color w:val="333333"/>
          <w:sz w:val="22"/>
          <w:szCs w:val="22"/>
          <w:shd w:val="clear" w:color="auto" w:fill="FFFFFF"/>
          <w:lang w:val="en-GB" w:eastAsia="en-US"/>
        </w:rPr>
        <w:t xml:space="preserve">[3] </w:t>
      </w:r>
      <w:hyperlink r:id="rId15" w:history="1">
        <w:r w:rsidRPr="003E7BF4">
          <w:rPr>
            <w:rStyle w:val="Hipervnculo"/>
            <w:rFonts w:asciiTheme="minorHAnsi" w:eastAsiaTheme="minorHAnsi" w:hAnsiTheme="minorHAnsi" w:cstheme="minorHAnsi"/>
            <w:sz w:val="22"/>
            <w:szCs w:val="22"/>
            <w:shd w:val="clear" w:color="auto" w:fill="FFFFFF"/>
            <w:lang w:val="en-GB" w:eastAsia="en-US"/>
          </w:rPr>
          <w:t>https://gml.noaa.gov/ccgg/trends/</w:t>
        </w:r>
      </w:hyperlink>
    </w:p>
    <w:p w14:paraId="4EFF0545" w14:textId="0BEC85B8" w:rsidR="00825753" w:rsidRDefault="00D843F8" w:rsidP="00D843F8">
      <w:pPr>
        <w:pStyle w:val="volume-issue"/>
        <w:shd w:val="clear" w:color="auto" w:fill="FFFFFF"/>
        <w:jc w:val="both"/>
        <w:rPr>
          <w:rStyle w:val="Hipervnculo"/>
          <w:rFonts w:asciiTheme="minorHAnsi" w:eastAsiaTheme="minorHAnsi" w:hAnsiTheme="minorHAnsi" w:cstheme="minorHAnsi"/>
          <w:sz w:val="22"/>
          <w:szCs w:val="22"/>
          <w:shd w:val="clear" w:color="auto" w:fill="FFFFFF"/>
          <w:lang w:eastAsia="en-US"/>
        </w:rPr>
      </w:pPr>
      <w:r>
        <w:rPr>
          <w:rFonts w:asciiTheme="minorHAnsi" w:eastAsiaTheme="minorHAnsi" w:hAnsiTheme="minorHAnsi" w:cstheme="minorHAnsi"/>
          <w:color w:val="333333"/>
          <w:sz w:val="22"/>
          <w:szCs w:val="22"/>
          <w:shd w:val="clear" w:color="auto" w:fill="FFFFFF"/>
          <w:lang w:eastAsia="en-US"/>
        </w:rPr>
        <w:t xml:space="preserve">[4] </w:t>
      </w:r>
      <w:hyperlink r:id="rId16" w:history="1">
        <w:r w:rsidRPr="00445F6E">
          <w:rPr>
            <w:rStyle w:val="Hipervnculo"/>
            <w:rFonts w:asciiTheme="minorHAnsi" w:eastAsiaTheme="minorHAnsi" w:hAnsiTheme="minorHAnsi" w:cstheme="minorHAnsi"/>
            <w:sz w:val="22"/>
            <w:szCs w:val="22"/>
            <w:shd w:val="clear" w:color="auto" w:fill="FFFFFF"/>
            <w:lang w:eastAsia="en-US"/>
          </w:rPr>
          <w:t>http://172.24.36.135/node/36</w:t>
        </w:r>
      </w:hyperlink>
    </w:p>
    <w:sectPr w:rsidR="00825753" w:rsidSect="003531C8">
      <w:head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9923C" w14:textId="77777777" w:rsidR="0041261C" w:rsidRDefault="0041261C" w:rsidP="003631F5">
      <w:pPr>
        <w:spacing w:after="0" w:line="240" w:lineRule="auto"/>
      </w:pPr>
      <w:r>
        <w:separator/>
      </w:r>
    </w:p>
  </w:endnote>
  <w:endnote w:type="continuationSeparator" w:id="0">
    <w:p w14:paraId="6558806D" w14:textId="77777777" w:rsidR="0041261C" w:rsidRDefault="0041261C" w:rsidP="00363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C8A03" w14:textId="77777777" w:rsidR="0041261C" w:rsidRDefault="0041261C" w:rsidP="003631F5">
      <w:pPr>
        <w:spacing w:after="0" w:line="240" w:lineRule="auto"/>
      </w:pPr>
      <w:r>
        <w:separator/>
      </w:r>
    </w:p>
  </w:footnote>
  <w:footnote w:type="continuationSeparator" w:id="0">
    <w:p w14:paraId="4E842049" w14:textId="77777777" w:rsidR="0041261C" w:rsidRDefault="0041261C" w:rsidP="00363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E87C2" w14:textId="307DAE32" w:rsidR="003631F5" w:rsidRDefault="0016463E" w:rsidP="0016463E">
    <w:pPr>
      <w:pStyle w:val="Encabezado"/>
    </w:pPr>
    <w:r w:rsidRPr="003067FB">
      <w:rPr>
        <w:noProof/>
        <w:lang w:eastAsia="es-ES"/>
      </w:rPr>
      <w:drawing>
        <wp:inline distT="0" distB="0" distL="0" distR="0" wp14:anchorId="3DD06385" wp14:editId="7E86B02B">
          <wp:extent cx="1628775" cy="549535"/>
          <wp:effectExtent l="0" t="0" r="0" b="3175"/>
          <wp:docPr id="54" name="Imagen 54" descr="C:\Users\Omaira\Downloads\ICOS_Spain_logo_png_rgb_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maira\Downloads\ICOS_Spain_logo_png_rgb_regul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5755" cy="562012"/>
                  </a:xfrm>
                  <a:prstGeom prst="rect">
                    <a:avLst/>
                  </a:prstGeom>
                  <a:noFill/>
                  <a:ln>
                    <a:noFill/>
                  </a:ln>
                </pic:spPr>
              </pic:pic>
            </a:graphicData>
          </a:graphic>
        </wp:inline>
      </w:drawing>
    </w:r>
    <w:r w:rsidR="003631F5">
      <w:rPr>
        <w:noProof/>
        <w:lang w:eastAsia="es-ES"/>
      </w:rPr>
      <mc:AlternateContent>
        <mc:Choice Requires="wps">
          <w:drawing>
            <wp:anchor distT="45720" distB="45720" distL="114300" distR="114300" simplePos="0" relativeHeight="251659264" behindDoc="0" locked="0" layoutInCell="1" allowOverlap="1" wp14:anchorId="35345288" wp14:editId="27376A2A">
              <wp:simplePos x="0" y="0"/>
              <wp:positionH relativeFrom="margin">
                <wp:align>right</wp:align>
              </wp:positionH>
              <wp:positionV relativeFrom="paragraph">
                <wp:posOffset>45720</wp:posOffset>
              </wp:positionV>
              <wp:extent cx="1222375" cy="27241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272415"/>
                      </a:xfrm>
                      <a:prstGeom prst="rect">
                        <a:avLst/>
                      </a:prstGeom>
                      <a:solidFill>
                        <a:srgbClr val="FFFFFF"/>
                      </a:solidFill>
                      <a:ln w="9525">
                        <a:noFill/>
                        <a:miter lim="800000"/>
                        <a:headEnd/>
                        <a:tailEnd/>
                      </a:ln>
                    </wps:spPr>
                    <wps:txbx>
                      <w:txbxContent>
                        <w:p w14:paraId="2A84E269" w14:textId="4273D81D" w:rsidR="003631F5" w:rsidRDefault="0016463E" w:rsidP="003631F5">
                          <w:pPr>
                            <w:jc w:val="right"/>
                            <w:rPr>
                              <w:sz w:val="24"/>
                            </w:rPr>
                          </w:pPr>
                          <w:proofErr w:type="spellStart"/>
                          <w:r>
                            <w:rPr>
                              <w:sz w:val="24"/>
                            </w:rPr>
                            <w:t>D</w:t>
                          </w:r>
                          <w:r w:rsidR="00CB6003">
                            <w:rPr>
                              <w:sz w:val="24"/>
                            </w:rPr>
                            <w:t>ecember</w:t>
                          </w:r>
                          <w:proofErr w:type="spellEnd"/>
                          <w:r>
                            <w:rPr>
                              <w:sz w:val="24"/>
                            </w:rPr>
                            <w:t xml:space="preserve"> 2</w:t>
                          </w:r>
                          <w:r w:rsidR="003631F5">
                            <w:rPr>
                              <w:sz w:val="24"/>
                            </w:rPr>
                            <w:t>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45288" id="_x0000_t202" coordsize="21600,21600" o:spt="202" path="m,l,21600r21600,l21600,xe">
              <v:stroke joinstyle="miter"/>
              <v:path gradientshapeok="t" o:connecttype="rect"/>
            </v:shapetype>
            <v:shape id="Cuadro de texto 217" o:spid="_x0000_s1026" type="#_x0000_t202" style="position:absolute;margin-left:45.05pt;margin-top:3.6pt;width:96.25pt;height:21.4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" stroked="f">
              <v:textbox style="mso-fit-shape-to-text:t">
                <w:txbxContent>
                  <w:p w14:paraId="2A84E269" w14:textId="4273D81D" w:rsidR="003631F5" w:rsidRDefault="0016463E" w:rsidP="003631F5">
                    <w:pPr>
                      <w:jc w:val="right"/>
                      <w:rPr>
                        <w:sz w:val="24"/>
                      </w:rPr>
                    </w:pPr>
                    <w:r>
                      <w:rPr>
                        <w:sz w:val="24"/>
                      </w:rPr>
                      <w:t>D</w:t>
                    </w:r>
                    <w:r w:rsidR="00CB6003">
                      <w:rPr>
                        <w:sz w:val="24"/>
                      </w:rPr>
                      <w:t>ecember</w:t>
                    </w:r>
                    <w:r>
                      <w:rPr>
                        <w:sz w:val="24"/>
                      </w:rPr>
                      <w:t xml:space="preserve"> 2</w:t>
                    </w:r>
                    <w:r w:rsidR="003631F5">
                      <w:rPr>
                        <w:sz w:val="24"/>
                      </w:rPr>
                      <w:t>022</w:t>
                    </w:r>
                  </w:p>
                </w:txbxContent>
              </v:textbox>
              <w10:wrap type="square" anchorx="margin"/>
            </v:shape>
          </w:pict>
        </mc:Fallback>
      </mc:AlternateContent>
    </w:r>
    <w:r w:rsidR="003631F5">
      <w:t xml:space="preserve">                    </w:t>
    </w:r>
    <w:r>
      <w:rPr>
        <w:noProof/>
        <w:lang w:eastAsia="es-ES"/>
      </w:rPr>
      <w:drawing>
        <wp:inline distT="0" distB="0" distL="0" distR="0" wp14:anchorId="60909306" wp14:editId="2565255F">
          <wp:extent cx="1288473" cy="571500"/>
          <wp:effectExtent l="0" t="0" r="6985"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690" cy="572040"/>
                  </a:xfrm>
                  <a:prstGeom prst="rect">
                    <a:avLst/>
                  </a:prstGeom>
                  <a:noFill/>
                  <a:ln>
                    <a:noFill/>
                  </a:ln>
                </pic:spPr>
              </pic:pic>
            </a:graphicData>
          </a:graphic>
        </wp:inline>
      </w:drawing>
    </w:r>
    <w:r w:rsidR="003631F5">
      <w:t xml:space="preserve">                        </w:t>
    </w:r>
    <w:r w:rsidR="00635937">
      <w:t xml:space="preserve"> </w:t>
    </w:r>
    <w:r w:rsidR="003631F5">
      <w:t xml:space="preserve">    </w:t>
    </w:r>
  </w:p>
  <w:p w14:paraId="0C460231" w14:textId="77777777" w:rsidR="003631F5" w:rsidRDefault="003631F5">
    <w:pPr>
      <w:pStyle w:val="Encabezado"/>
    </w:pPr>
  </w:p>
  <w:p w14:paraId="5B43C6C1" w14:textId="30386456" w:rsidR="00A9466B" w:rsidRDefault="003631F5">
    <w:pPr>
      <w:pStyle w:val="Encabezado"/>
    </w:pPr>
    <w:r>
      <w:t xml:space="preserve">                             </w:t>
    </w:r>
    <w:r w:rsidR="00B824B3">
      <w:t xml:space="preserve">   </w:t>
    </w:r>
    <w:r>
      <w:t xml:space="preserve">  </w:t>
    </w:r>
    <w:r w:rsidR="00B824B3">
      <w:t xml:space="preserve">      </w:t>
    </w:r>
    <w:r>
      <w:t xml:space="preserve">   </w:t>
    </w:r>
    <w:r w:rsidR="0016463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3491B"/>
    <w:multiLevelType w:val="multilevel"/>
    <w:tmpl w:val="A55C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17D35"/>
    <w:multiLevelType w:val="hybridMultilevel"/>
    <w:tmpl w:val="4F6EB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23014E6"/>
    <w:multiLevelType w:val="multilevel"/>
    <w:tmpl w:val="BC06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A44799"/>
    <w:multiLevelType w:val="hybridMultilevel"/>
    <w:tmpl w:val="98A46F58"/>
    <w:lvl w:ilvl="0" w:tplc="D868C538">
      <w:start w:val="42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46"/>
    <w:rsid w:val="00000C7E"/>
    <w:rsid w:val="00001B17"/>
    <w:rsid w:val="0000464F"/>
    <w:rsid w:val="0001051D"/>
    <w:rsid w:val="00011E38"/>
    <w:rsid w:val="00012868"/>
    <w:rsid w:val="000128DF"/>
    <w:rsid w:val="00013449"/>
    <w:rsid w:val="00020649"/>
    <w:rsid w:val="000210AA"/>
    <w:rsid w:val="00031FCB"/>
    <w:rsid w:val="00032D01"/>
    <w:rsid w:val="00040EE4"/>
    <w:rsid w:val="00041127"/>
    <w:rsid w:val="0004502C"/>
    <w:rsid w:val="00046D0A"/>
    <w:rsid w:val="0005406D"/>
    <w:rsid w:val="00055CA5"/>
    <w:rsid w:val="00055F54"/>
    <w:rsid w:val="00056A31"/>
    <w:rsid w:val="000601A8"/>
    <w:rsid w:val="000747F9"/>
    <w:rsid w:val="000774A8"/>
    <w:rsid w:val="000845FD"/>
    <w:rsid w:val="00087ABF"/>
    <w:rsid w:val="000934D1"/>
    <w:rsid w:val="00094C81"/>
    <w:rsid w:val="00096554"/>
    <w:rsid w:val="00096606"/>
    <w:rsid w:val="00096FD4"/>
    <w:rsid w:val="000A3EF2"/>
    <w:rsid w:val="000A4C00"/>
    <w:rsid w:val="000A4FCB"/>
    <w:rsid w:val="000A5598"/>
    <w:rsid w:val="000B672C"/>
    <w:rsid w:val="000B7855"/>
    <w:rsid w:val="000C0CC2"/>
    <w:rsid w:val="000D7F46"/>
    <w:rsid w:val="000E07F9"/>
    <w:rsid w:val="000E4846"/>
    <w:rsid w:val="000E4C86"/>
    <w:rsid w:val="000E7775"/>
    <w:rsid w:val="000F474B"/>
    <w:rsid w:val="001015CB"/>
    <w:rsid w:val="001045C1"/>
    <w:rsid w:val="00116905"/>
    <w:rsid w:val="00126233"/>
    <w:rsid w:val="0012787E"/>
    <w:rsid w:val="0013601F"/>
    <w:rsid w:val="001424F1"/>
    <w:rsid w:val="00142826"/>
    <w:rsid w:val="00152BA7"/>
    <w:rsid w:val="001615DD"/>
    <w:rsid w:val="00162437"/>
    <w:rsid w:val="001625F2"/>
    <w:rsid w:val="0016463E"/>
    <w:rsid w:val="00164930"/>
    <w:rsid w:val="0016767D"/>
    <w:rsid w:val="001729ED"/>
    <w:rsid w:val="001754BA"/>
    <w:rsid w:val="0017641E"/>
    <w:rsid w:val="00176ACD"/>
    <w:rsid w:val="001812A9"/>
    <w:rsid w:val="00181F0B"/>
    <w:rsid w:val="00186D3F"/>
    <w:rsid w:val="001948AE"/>
    <w:rsid w:val="001958A5"/>
    <w:rsid w:val="001977E1"/>
    <w:rsid w:val="001A3789"/>
    <w:rsid w:val="001A49A9"/>
    <w:rsid w:val="001A7C28"/>
    <w:rsid w:val="001B011E"/>
    <w:rsid w:val="001B2B14"/>
    <w:rsid w:val="001B484E"/>
    <w:rsid w:val="001B6429"/>
    <w:rsid w:val="001B7882"/>
    <w:rsid w:val="001B7EDD"/>
    <w:rsid w:val="001C15A9"/>
    <w:rsid w:val="001C2833"/>
    <w:rsid w:val="001D315D"/>
    <w:rsid w:val="001D39FD"/>
    <w:rsid w:val="001D5401"/>
    <w:rsid w:val="001E2549"/>
    <w:rsid w:val="001F05B7"/>
    <w:rsid w:val="001F08CF"/>
    <w:rsid w:val="001F18A9"/>
    <w:rsid w:val="001F1AEF"/>
    <w:rsid w:val="001F5925"/>
    <w:rsid w:val="00204B43"/>
    <w:rsid w:val="00205903"/>
    <w:rsid w:val="00206F20"/>
    <w:rsid w:val="002144D9"/>
    <w:rsid w:val="00217620"/>
    <w:rsid w:val="00221F40"/>
    <w:rsid w:val="002236E8"/>
    <w:rsid w:val="00225FBE"/>
    <w:rsid w:val="00226645"/>
    <w:rsid w:val="0022694C"/>
    <w:rsid w:val="002354B1"/>
    <w:rsid w:val="0025176D"/>
    <w:rsid w:val="00256A47"/>
    <w:rsid w:val="002673BF"/>
    <w:rsid w:val="00272557"/>
    <w:rsid w:val="00274081"/>
    <w:rsid w:val="0027607F"/>
    <w:rsid w:val="00285096"/>
    <w:rsid w:val="0028536E"/>
    <w:rsid w:val="002A0522"/>
    <w:rsid w:val="002B211F"/>
    <w:rsid w:val="002B5062"/>
    <w:rsid w:val="002C00D1"/>
    <w:rsid w:val="002C167F"/>
    <w:rsid w:val="002C2F5D"/>
    <w:rsid w:val="002C3E27"/>
    <w:rsid w:val="002D1B37"/>
    <w:rsid w:val="002D56C1"/>
    <w:rsid w:val="002E4531"/>
    <w:rsid w:val="002E7AE3"/>
    <w:rsid w:val="002F24E1"/>
    <w:rsid w:val="00301AF5"/>
    <w:rsid w:val="003024B8"/>
    <w:rsid w:val="003028E5"/>
    <w:rsid w:val="00305CE9"/>
    <w:rsid w:val="00307819"/>
    <w:rsid w:val="003119D6"/>
    <w:rsid w:val="00314D21"/>
    <w:rsid w:val="00316713"/>
    <w:rsid w:val="003167A8"/>
    <w:rsid w:val="00323649"/>
    <w:rsid w:val="0032457D"/>
    <w:rsid w:val="00326E0B"/>
    <w:rsid w:val="00327F38"/>
    <w:rsid w:val="00333FFD"/>
    <w:rsid w:val="00336F76"/>
    <w:rsid w:val="00337239"/>
    <w:rsid w:val="00345F62"/>
    <w:rsid w:val="00347CF0"/>
    <w:rsid w:val="00350526"/>
    <w:rsid w:val="003531C8"/>
    <w:rsid w:val="00356101"/>
    <w:rsid w:val="00356251"/>
    <w:rsid w:val="00357BE0"/>
    <w:rsid w:val="003631F5"/>
    <w:rsid w:val="0037158F"/>
    <w:rsid w:val="003748AA"/>
    <w:rsid w:val="00374B17"/>
    <w:rsid w:val="0038262D"/>
    <w:rsid w:val="00386F3B"/>
    <w:rsid w:val="00390A5F"/>
    <w:rsid w:val="00396FCD"/>
    <w:rsid w:val="003A0AE1"/>
    <w:rsid w:val="003A1C3A"/>
    <w:rsid w:val="003A55B9"/>
    <w:rsid w:val="003A611C"/>
    <w:rsid w:val="003B358D"/>
    <w:rsid w:val="003B5EEF"/>
    <w:rsid w:val="003C0105"/>
    <w:rsid w:val="003C2AD1"/>
    <w:rsid w:val="003C3145"/>
    <w:rsid w:val="003C741D"/>
    <w:rsid w:val="003D2022"/>
    <w:rsid w:val="003D31D2"/>
    <w:rsid w:val="003E2618"/>
    <w:rsid w:val="003E6DD6"/>
    <w:rsid w:val="003E738E"/>
    <w:rsid w:val="003E7BF4"/>
    <w:rsid w:val="00402EEC"/>
    <w:rsid w:val="00403CA2"/>
    <w:rsid w:val="00405EC5"/>
    <w:rsid w:val="004063BE"/>
    <w:rsid w:val="00407A1C"/>
    <w:rsid w:val="0041179F"/>
    <w:rsid w:val="0041261C"/>
    <w:rsid w:val="004168FC"/>
    <w:rsid w:val="00424567"/>
    <w:rsid w:val="00426C22"/>
    <w:rsid w:val="00430EE7"/>
    <w:rsid w:val="004346D9"/>
    <w:rsid w:val="00435465"/>
    <w:rsid w:val="0044170F"/>
    <w:rsid w:val="004449B7"/>
    <w:rsid w:val="00461298"/>
    <w:rsid w:val="00462B3A"/>
    <w:rsid w:val="00466318"/>
    <w:rsid w:val="004722FB"/>
    <w:rsid w:val="0047766F"/>
    <w:rsid w:val="00485824"/>
    <w:rsid w:val="00485D7F"/>
    <w:rsid w:val="00487C51"/>
    <w:rsid w:val="0049291D"/>
    <w:rsid w:val="00493622"/>
    <w:rsid w:val="00493D4C"/>
    <w:rsid w:val="004A2C63"/>
    <w:rsid w:val="004B0508"/>
    <w:rsid w:val="004B0AC0"/>
    <w:rsid w:val="004B422F"/>
    <w:rsid w:val="004B4817"/>
    <w:rsid w:val="004C0413"/>
    <w:rsid w:val="004C754B"/>
    <w:rsid w:val="004D07F8"/>
    <w:rsid w:val="004D5026"/>
    <w:rsid w:val="004D5CE9"/>
    <w:rsid w:val="004E017C"/>
    <w:rsid w:val="004E0937"/>
    <w:rsid w:val="004E1A69"/>
    <w:rsid w:val="004F438B"/>
    <w:rsid w:val="004F652E"/>
    <w:rsid w:val="004F7ACC"/>
    <w:rsid w:val="00502CD7"/>
    <w:rsid w:val="00506B52"/>
    <w:rsid w:val="00512533"/>
    <w:rsid w:val="00515293"/>
    <w:rsid w:val="005164FA"/>
    <w:rsid w:val="00522B7F"/>
    <w:rsid w:val="00524A38"/>
    <w:rsid w:val="00524EF0"/>
    <w:rsid w:val="005300D9"/>
    <w:rsid w:val="0054220C"/>
    <w:rsid w:val="00543392"/>
    <w:rsid w:val="00550C7D"/>
    <w:rsid w:val="00551DFB"/>
    <w:rsid w:val="00552D64"/>
    <w:rsid w:val="00554883"/>
    <w:rsid w:val="00554A1A"/>
    <w:rsid w:val="00556151"/>
    <w:rsid w:val="00562F69"/>
    <w:rsid w:val="00564C61"/>
    <w:rsid w:val="00572599"/>
    <w:rsid w:val="00581272"/>
    <w:rsid w:val="005817EA"/>
    <w:rsid w:val="00581B1E"/>
    <w:rsid w:val="005976F0"/>
    <w:rsid w:val="005979D6"/>
    <w:rsid w:val="005A2D25"/>
    <w:rsid w:val="005A44CF"/>
    <w:rsid w:val="005A5074"/>
    <w:rsid w:val="005A7873"/>
    <w:rsid w:val="005B00EC"/>
    <w:rsid w:val="005B1D46"/>
    <w:rsid w:val="005B3ABD"/>
    <w:rsid w:val="005B4433"/>
    <w:rsid w:val="005B6143"/>
    <w:rsid w:val="005C0AC0"/>
    <w:rsid w:val="005C2752"/>
    <w:rsid w:val="005D0D92"/>
    <w:rsid w:val="005D19DF"/>
    <w:rsid w:val="005D313D"/>
    <w:rsid w:val="005D79C5"/>
    <w:rsid w:val="005D7FAA"/>
    <w:rsid w:val="005E0D84"/>
    <w:rsid w:val="005E0ED9"/>
    <w:rsid w:val="005E3045"/>
    <w:rsid w:val="005E3083"/>
    <w:rsid w:val="005F1728"/>
    <w:rsid w:val="005F4402"/>
    <w:rsid w:val="005F5984"/>
    <w:rsid w:val="005F6A06"/>
    <w:rsid w:val="006046C8"/>
    <w:rsid w:val="00604F96"/>
    <w:rsid w:val="00615837"/>
    <w:rsid w:val="00621836"/>
    <w:rsid w:val="00623772"/>
    <w:rsid w:val="00630BC0"/>
    <w:rsid w:val="00635937"/>
    <w:rsid w:val="00637AED"/>
    <w:rsid w:val="006443C6"/>
    <w:rsid w:val="0064511B"/>
    <w:rsid w:val="0065121D"/>
    <w:rsid w:val="0065544A"/>
    <w:rsid w:val="00655F1D"/>
    <w:rsid w:val="00656E3D"/>
    <w:rsid w:val="006631F8"/>
    <w:rsid w:val="00663D98"/>
    <w:rsid w:val="00666DED"/>
    <w:rsid w:val="00673310"/>
    <w:rsid w:val="006746C9"/>
    <w:rsid w:val="00677FCD"/>
    <w:rsid w:val="00682B8C"/>
    <w:rsid w:val="0069231B"/>
    <w:rsid w:val="006953E0"/>
    <w:rsid w:val="00695664"/>
    <w:rsid w:val="00696060"/>
    <w:rsid w:val="006A119F"/>
    <w:rsid w:val="006A1E49"/>
    <w:rsid w:val="006C0479"/>
    <w:rsid w:val="006C1AEB"/>
    <w:rsid w:val="006D1F78"/>
    <w:rsid w:val="006D798E"/>
    <w:rsid w:val="006E4E4F"/>
    <w:rsid w:val="006E63A8"/>
    <w:rsid w:val="006F59DC"/>
    <w:rsid w:val="0070614E"/>
    <w:rsid w:val="00707B61"/>
    <w:rsid w:val="00710F00"/>
    <w:rsid w:val="007118BA"/>
    <w:rsid w:val="00712C2B"/>
    <w:rsid w:val="00713BA7"/>
    <w:rsid w:val="0072629C"/>
    <w:rsid w:val="00727A56"/>
    <w:rsid w:val="0073155D"/>
    <w:rsid w:val="00742253"/>
    <w:rsid w:val="00744222"/>
    <w:rsid w:val="00745EF5"/>
    <w:rsid w:val="007464DD"/>
    <w:rsid w:val="007502F4"/>
    <w:rsid w:val="00756910"/>
    <w:rsid w:val="00757052"/>
    <w:rsid w:val="007609A2"/>
    <w:rsid w:val="007622E9"/>
    <w:rsid w:val="00767AEC"/>
    <w:rsid w:val="0077709A"/>
    <w:rsid w:val="007830BD"/>
    <w:rsid w:val="007868E1"/>
    <w:rsid w:val="00787786"/>
    <w:rsid w:val="0079168F"/>
    <w:rsid w:val="00792F99"/>
    <w:rsid w:val="00795757"/>
    <w:rsid w:val="00795BC4"/>
    <w:rsid w:val="007A1977"/>
    <w:rsid w:val="007A22D9"/>
    <w:rsid w:val="007A41AB"/>
    <w:rsid w:val="007B4BCE"/>
    <w:rsid w:val="007B5227"/>
    <w:rsid w:val="007B710D"/>
    <w:rsid w:val="007B7AFE"/>
    <w:rsid w:val="007B7F5D"/>
    <w:rsid w:val="007C6FA0"/>
    <w:rsid w:val="007C7B60"/>
    <w:rsid w:val="007D0AF4"/>
    <w:rsid w:val="007D1A2B"/>
    <w:rsid w:val="007D4FF0"/>
    <w:rsid w:val="007E0DD1"/>
    <w:rsid w:val="007F2435"/>
    <w:rsid w:val="007F724E"/>
    <w:rsid w:val="0080049F"/>
    <w:rsid w:val="00800665"/>
    <w:rsid w:val="0080083D"/>
    <w:rsid w:val="0081170F"/>
    <w:rsid w:val="00812C9A"/>
    <w:rsid w:val="00815557"/>
    <w:rsid w:val="0081731C"/>
    <w:rsid w:val="00817327"/>
    <w:rsid w:val="0082131B"/>
    <w:rsid w:val="00821A06"/>
    <w:rsid w:val="00821D3F"/>
    <w:rsid w:val="00825753"/>
    <w:rsid w:val="008261C7"/>
    <w:rsid w:val="00832724"/>
    <w:rsid w:val="00832883"/>
    <w:rsid w:val="008418C7"/>
    <w:rsid w:val="00843EC7"/>
    <w:rsid w:val="00850776"/>
    <w:rsid w:val="00851247"/>
    <w:rsid w:val="00851765"/>
    <w:rsid w:val="0085234F"/>
    <w:rsid w:val="00853CE0"/>
    <w:rsid w:val="00854C8A"/>
    <w:rsid w:val="008577FD"/>
    <w:rsid w:val="00857DE1"/>
    <w:rsid w:val="008610AF"/>
    <w:rsid w:val="008639E6"/>
    <w:rsid w:val="0086716C"/>
    <w:rsid w:val="00870244"/>
    <w:rsid w:val="00874D7D"/>
    <w:rsid w:val="008752FC"/>
    <w:rsid w:val="00877451"/>
    <w:rsid w:val="00880959"/>
    <w:rsid w:val="00881E13"/>
    <w:rsid w:val="00882414"/>
    <w:rsid w:val="008841A8"/>
    <w:rsid w:val="0088656A"/>
    <w:rsid w:val="0089174B"/>
    <w:rsid w:val="00895EA4"/>
    <w:rsid w:val="008A281B"/>
    <w:rsid w:val="008B0835"/>
    <w:rsid w:val="008B2636"/>
    <w:rsid w:val="008B4766"/>
    <w:rsid w:val="008B501A"/>
    <w:rsid w:val="008B60B1"/>
    <w:rsid w:val="008C065D"/>
    <w:rsid w:val="008C2079"/>
    <w:rsid w:val="008C2E69"/>
    <w:rsid w:val="008C5B49"/>
    <w:rsid w:val="008C7153"/>
    <w:rsid w:val="008D3B80"/>
    <w:rsid w:val="008E1574"/>
    <w:rsid w:val="008E55B9"/>
    <w:rsid w:val="008F0746"/>
    <w:rsid w:val="008F081F"/>
    <w:rsid w:val="008F1B83"/>
    <w:rsid w:val="008F2C55"/>
    <w:rsid w:val="008F2C8B"/>
    <w:rsid w:val="008F2D83"/>
    <w:rsid w:val="008F37F2"/>
    <w:rsid w:val="008F5F98"/>
    <w:rsid w:val="00901CFC"/>
    <w:rsid w:val="00902A71"/>
    <w:rsid w:val="00902B35"/>
    <w:rsid w:val="00907749"/>
    <w:rsid w:val="00910F35"/>
    <w:rsid w:val="0091424A"/>
    <w:rsid w:val="009167C5"/>
    <w:rsid w:val="00920869"/>
    <w:rsid w:val="0092196D"/>
    <w:rsid w:val="00925AD9"/>
    <w:rsid w:val="00926493"/>
    <w:rsid w:val="0093028B"/>
    <w:rsid w:val="00935428"/>
    <w:rsid w:val="009372CD"/>
    <w:rsid w:val="00946DD5"/>
    <w:rsid w:val="00946E37"/>
    <w:rsid w:val="00957F34"/>
    <w:rsid w:val="00960404"/>
    <w:rsid w:val="00963F40"/>
    <w:rsid w:val="0096572D"/>
    <w:rsid w:val="00967817"/>
    <w:rsid w:val="00986A3F"/>
    <w:rsid w:val="009919A5"/>
    <w:rsid w:val="00991D62"/>
    <w:rsid w:val="00992975"/>
    <w:rsid w:val="00994B60"/>
    <w:rsid w:val="009A11DA"/>
    <w:rsid w:val="009A75D3"/>
    <w:rsid w:val="009B2605"/>
    <w:rsid w:val="009B3035"/>
    <w:rsid w:val="009B3655"/>
    <w:rsid w:val="009B4BF2"/>
    <w:rsid w:val="009C2DE0"/>
    <w:rsid w:val="009C2EB2"/>
    <w:rsid w:val="009C4182"/>
    <w:rsid w:val="009D0098"/>
    <w:rsid w:val="009D60C4"/>
    <w:rsid w:val="009E14A5"/>
    <w:rsid w:val="009E2B20"/>
    <w:rsid w:val="009E6C87"/>
    <w:rsid w:val="00A00EC4"/>
    <w:rsid w:val="00A0264E"/>
    <w:rsid w:val="00A13630"/>
    <w:rsid w:val="00A17B92"/>
    <w:rsid w:val="00A17CE4"/>
    <w:rsid w:val="00A2312C"/>
    <w:rsid w:val="00A25798"/>
    <w:rsid w:val="00A3216E"/>
    <w:rsid w:val="00A33498"/>
    <w:rsid w:val="00A34175"/>
    <w:rsid w:val="00A42C47"/>
    <w:rsid w:val="00A43B82"/>
    <w:rsid w:val="00A541AC"/>
    <w:rsid w:val="00A57E4D"/>
    <w:rsid w:val="00A72A1A"/>
    <w:rsid w:val="00A75C29"/>
    <w:rsid w:val="00A80385"/>
    <w:rsid w:val="00A87A8E"/>
    <w:rsid w:val="00A9466B"/>
    <w:rsid w:val="00AA44E2"/>
    <w:rsid w:val="00AB076E"/>
    <w:rsid w:val="00AB3766"/>
    <w:rsid w:val="00AC0D53"/>
    <w:rsid w:val="00AC0E8E"/>
    <w:rsid w:val="00AC246B"/>
    <w:rsid w:val="00AC407C"/>
    <w:rsid w:val="00AC4446"/>
    <w:rsid w:val="00AC492E"/>
    <w:rsid w:val="00AD02C3"/>
    <w:rsid w:val="00AE41DA"/>
    <w:rsid w:val="00AE4992"/>
    <w:rsid w:val="00AE56F8"/>
    <w:rsid w:val="00AF1E8C"/>
    <w:rsid w:val="00AF29A6"/>
    <w:rsid w:val="00AF4A4A"/>
    <w:rsid w:val="00B02DAA"/>
    <w:rsid w:val="00B02EFF"/>
    <w:rsid w:val="00B046B3"/>
    <w:rsid w:val="00B04F6C"/>
    <w:rsid w:val="00B053C4"/>
    <w:rsid w:val="00B05B2C"/>
    <w:rsid w:val="00B135A0"/>
    <w:rsid w:val="00B16EA3"/>
    <w:rsid w:val="00B20C78"/>
    <w:rsid w:val="00B2411D"/>
    <w:rsid w:val="00B27135"/>
    <w:rsid w:val="00B4168D"/>
    <w:rsid w:val="00B50669"/>
    <w:rsid w:val="00B5280C"/>
    <w:rsid w:val="00B53665"/>
    <w:rsid w:val="00B5471D"/>
    <w:rsid w:val="00B56867"/>
    <w:rsid w:val="00B61672"/>
    <w:rsid w:val="00B65108"/>
    <w:rsid w:val="00B725A1"/>
    <w:rsid w:val="00B76DC5"/>
    <w:rsid w:val="00B824B3"/>
    <w:rsid w:val="00B922BA"/>
    <w:rsid w:val="00B923AC"/>
    <w:rsid w:val="00B93644"/>
    <w:rsid w:val="00B963E6"/>
    <w:rsid w:val="00BA04EF"/>
    <w:rsid w:val="00BA6DE3"/>
    <w:rsid w:val="00BB025C"/>
    <w:rsid w:val="00BB1591"/>
    <w:rsid w:val="00BB308C"/>
    <w:rsid w:val="00BB3E0F"/>
    <w:rsid w:val="00BC424E"/>
    <w:rsid w:val="00BC56E2"/>
    <w:rsid w:val="00BD7B67"/>
    <w:rsid w:val="00BE1E16"/>
    <w:rsid w:val="00BF4502"/>
    <w:rsid w:val="00BF4D31"/>
    <w:rsid w:val="00C04036"/>
    <w:rsid w:val="00C0431D"/>
    <w:rsid w:val="00C0642C"/>
    <w:rsid w:val="00C165AC"/>
    <w:rsid w:val="00C2118E"/>
    <w:rsid w:val="00C305A8"/>
    <w:rsid w:val="00C333D3"/>
    <w:rsid w:val="00C34DAC"/>
    <w:rsid w:val="00C36A9E"/>
    <w:rsid w:val="00C46BB6"/>
    <w:rsid w:val="00C47CDC"/>
    <w:rsid w:val="00C50E62"/>
    <w:rsid w:val="00C52C1B"/>
    <w:rsid w:val="00C5776F"/>
    <w:rsid w:val="00C60868"/>
    <w:rsid w:val="00C60E18"/>
    <w:rsid w:val="00C65809"/>
    <w:rsid w:val="00C65AD7"/>
    <w:rsid w:val="00C65E11"/>
    <w:rsid w:val="00C671B8"/>
    <w:rsid w:val="00C71878"/>
    <w:rsid w:val="00C774F8"/>
    <w:rsid w:val="00C826AF"/>
    <w:rsid w:val="00C92DE9"/>
    <w:rsid w:val="00C93372"/>
    <w:rsid w:val="00C935BA"/>
    <w:rsid w:val="00C9757F"/>
    <w:rsid w:val="00CA1A8D"/>
    <w:rsid w:val="00CA5121"/>
    <w:rsid w:val="00CA7EE1"/>
    <w:rsid w:val="00CB02B0"/>
    <w:rsid w:val="00CB33C5"/>
    <w:rsid w:val="00CB6003"/>
    <w:rsid w:val="00CB6FF2"/>
    <w:rsid w:val="00CC25D2"/>
    <w:rsid w:val="00CD531E"/>
    <w:rsid w:val="00CD56D1"/>
    <w:rsid w:val="00CD6396"/>
    <w:rsid w:val="00CD74E8"/>
    <w:rsid w:val="00CD7DF0"/>
    <w:rsid w:val="00CE7620"/>
    <w:rsid w:val="00D04FFC"/>
    <w:rsid w:val="00D11B2D"/>
    <w:rsid w:val="00D13FBE"/>
    <w:rsid w:val="00D14956"/>
    <w:rsid w:val="00D34541"/>
    <w:rsid w:val="00D347C0"/>
    <w:rsid w:val="00D37999"/>
    <w:rsid w:val="00D40D34"/>
    <w:rsid w:val="00D42977"/>
    <w:rsid w:val="00D42B27"/>
    <w:rsid w:val="00D515DE"/>
    <w:rsid w:val="00D63891"/>
    <w:rsid w:val="00D63CC0"/>
    <w:rsid w:val="00D6533A"/>
    <w:rsid w:val="00D66036"/>
    <w:rsid w:val="00D660F3"/>
    <w:rsid w:val="00D7093B"/>
    <w:rsid w:val="00D72850"/>
    <w:rsid w:val="00D73A4A"/>
    <w:rsid w:val="00D75100"/>
    <w:rsid w:val="00D80E20"/>
    <w:rsid w:val="00D814B9"/>
    <w:rsid w:val="00D81D5B"/>
    <w:rsid w:val="00D843F8"/>
    <w:rsid w:val="00D9381F"/>
    <w:rsid w:val="00D93A67"/>
    <w:rsid w:val="00D9577F"/>
    <w:rsid w:val="00D97016"/>
    <w:rsid w:val="00DA0BA1"/>
    <w:rsid w:val="00DA1AE9"/>
    <w:rsid w:val="00DA5D86"/>
    <w:rsid w:val="00DB0818"/>
    <w:rsid w:val="00DB1985"/>
    <w:rsid w:val="00DB63FD"/>
    <w:rsid w:val="00DB76BE"/>
    <w:rsid w:val="00DC18CC"/>
    <w:rsid w:val="00DC2039"/>
    <w:rsid w:val="00DC3AB8"/>
    <w:rsid w:val="00DC3AE5"/>
    <w:rsid w:val="00DC4B6E"/>
    <w:rsid w:val="00DD3FDF"/>
    <w:rsid w:val="00DE0FE9"/>
    <w:rsid w:val="00DE4A28"/>
    <w:rsid w:val="00DE4F25"/>
    <w:rsid w:val="00DF0AA4"/>
    <w:rsid w:val="00DF124A"/>
    <w:rsid w:val="00DF2748"/>
    <w:rsid w:val="00E020A9"/>
    <w:rsid w:val="00E054F1"/>
    <w:rsid w:val="00E11872"/>
    <w:rsid w:val="00E168B3"/>
    <w:rsid w:val="00E17934"/>
    <w:rsid w:val="00E22472"/>
    <w:rsid w:val="00E263B4"/>
    <w:rsid w:val="00E30B33"/>
    <w:rsid w:val="00E312C5"/>
    <w:rsid w:val="00E346A7"/>
    <w:rsid w:val="00E36BEA"/>
    <w:rsid w:val="00E42A3A"/>
    <w:rsid w:val="00E532D0"/>
    <w:rsid w:val="00E5360F"/>
    <w:rsid w:val="00E56392"/>
    <w:rsid w:val="00E57A3F"/>
    <w:rsid w:val="00E57EE8"/>
    <w:rsid w:val="00E64B47"/>
    <w:rsid w:val="00E64FF5"/>
    <w:rsid w:val="00E65E77"/>
    <w:rsid w:val="00E75EE8"/>
    <w:rsid w:val="00E82EE7"/>
    <w:rsid w:val="00E85157"/>
    <w:rsid w:val="00E911D2"/>
    <w:rsid w:val="00E92D69"/>
    <w:rsid w:val="00EA728D"/>
    <w:rsid w:val="00EB4B5E"/>
    <w:rsid w:val="00EB6517"/>
    <w:rsid w:val="00EC0DE0"/>
    <w:rsid w:val="00EC25ED"/>
    <w:rsid w:val="00EC2F53"/>
    <w:rsid w:val="00ED3AC9"/>
    <w:rsid w:val="00ED499D"/>
    <w:rsid w:val="00ED51C6"/>
    <w:rsid w:val="00EE3B49"/>
    <w:rsid w:val="00EF0DF1"/>
    <w:rsid w:val="00EF475E"/>
    <w:rsid w:val="00EF7B74"/>
    <w:rsid w:val="00F071A8"/>
    <w:rsid w:val="00F1140D"/>
    <w:rsid w:val="00F154FA"/>
    <w:rsid w:val="00F16097"/>
    <w:rsid w:val="00F2041F"/>
    <w:rsid w:val="00F31050"/>
    <w:rsid w:val="00F33B8A"/>
    <w:rsid w:val="00F34A6D"/>
    <w:rsid w:val="00F41EFA"/>
    <w:rsid w:val="00F46986"/>
    <w:rsid w:val="00F50C05"/>
    <w:rsid w:val="00F565A1"/>
    <w:rsid w:val="00F62CC1"/>
    <w:rsid w:val="00F66397"/>
    <w:rsid w:val="00F67734"/>
    <w:rsid w:val="00F71F20"/>
    <w:rsid w:val="00F7650A"/>
    <w:rsid w:val="00F777DF"/>
    <w:rsid w:val="00F91374"/>
    <w:rsid w:val="00FA07C4"/>
    <w:rsid w:val="00FA2489"/>
    <w:rsid w:val="00FA6392"/>
    <w:rsid w:val="00FB3A8E"/>
    <w:rsid w:val="00FC0052"/>
    <w:rsid w:val="00FC4FC6"/>
    <w:rsid w:val="00FC7884"/>
    <w:rsid w:val="00FC7A14"/>
    <w:rsid w:val="00FD4449"/>
    <w:rsid w:val="00FE1D6E"/>
    <w:rsid w:val="00FE2373"/>
    <w:rsid w:val="00FE4095"/>
    <w:rsid w:val="00FE5B58"/>
    <w:rsid w:val="00FF463B"/>
    <w:rsid w:val="00FF79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56C40"/>
  <w15:chartTrackingRefBased/>
  <w15:docId w15:val="{ED0A61BB-87B1-4076-BF03-6839D38C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E1D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7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345F62"/>
    <w:pPr>
      <w:ind w:left="720"/>
      <w:contextualSpacing/>
    </w:pPr>
  </w:style>
  <w:style w:type="character" w:styleId="Refdecomentario">
    <w:name w:val="annotation reference"/>
    <w:basedOn w:val="Fuentedeprrafopredeter"/>
    <w:uiPriority w:val="99"/>
    <w:semiHidden/>
    <w:unhideWhenUsed/>
    <w:rsid w:val="00506B52"/>
    <w:rPr>
      <w:sz w:val="16"/>
      <w:szCs w:val="16"/>
    </w:rPr>
  </w:style>
  <w:style w:type="paragraph" w:styleId="Textocomentario">
    <w:name w:val="annotation text"/>
    <w:basedOn w:val="Normal"/>
    <w:link w:val="TextocomentarioCar"/>
    <w:uiPriority w:val="99"/>
    <w:semiHidden/>
    <w:unhideWhenUsed/>
    <w:rsid w:val="00506B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6B52"/>
    <w:rPr>
      <w:sz w:val="20"/>
      <w:szCs w:val="20"/>
    </w:rPr>
  </w:style>
  <w:style w:type="paragraph" w:styleId="Asuntodelcomentario">
    <w:name w:val="annotation subject"/>
    <w:basedOn w:val="Textocomentario"/>
    <w:next w:val="Textocomentario"/>
    <w:link w:val="AsuntodelcomentarioCar"/>
    <w:uiPriority w:val="99"/>
    <w:semiHidden/>
    <w:unhideWhenUsed/>
    <w:rsid w:val="00506B52"/>
    <w:rPr>
      <w:b/>
      <w:bCs/>
    </w:rPr>
  </w:style>
  <w:style w:type="character" w:customStyle="1" w:styleId="AsuntodelcomentarioCar">
    <w:name w:val="Asunto del comentario Car"/>
    <w:basedOn w:val="TextocomentarioCar"/>
    <w:link w:val="Asuntodelcomentario"/>
    <w:uiPriority w:val="99"/>
    <w:semiHidden/>
    <w:rsid w:val="00506B52"/>
    <w:rPr>
      <w:b/>
      <w:bCs/>
      <w:sz w:val="20"/>
      <w:szCs w:val="20"/>
    </w:rPr>
  </w:style>
  <w:style w:type="paragraph" w:customStyle="1" w:styleId="DecimalAligned">
    <w:name w:val="Decimal Aligned"/>
    <w:basedOn w:val="Normal"/>
    <w:uiPriority w:val="40"/>
    <w:qFormat/>
    <w:rsid w:val="00AB3766"/>
    <w:pPr>
      <w:tabs>
        <w:tab w:val="decimal" w:pos="360"/>
      </w:tabs>
      <w:spacing w:after="200" w:line="276" w:lineRule="auto"/>
    </w:pPr>
    <w:rPr>
      <w:rFonts w:eastAsiaTheme="minorEastAsia" w:cs="Times New Roman"/>
      <w:lang w:eastAsia="es-ES"/>
    </w:rPr>
  </w:style>
  <w:style w:type="paragraph" w:styleId="Textonotapie">
    <w:name w:val="footnote text"/>
    <w:basedOn w:val="Normal"/>
    <w:link w:val="TextonotapieCar"/>
    <w:uiPriority w:val="99"/>
    <w:unhideWhenUsed/>
    <w:rsid w:val="00AB3766"/>
    <w:pPr>
      <w:spacing w:after="0" w:line="240" w:lineRule="auto"/>
    </w:pPr>
    <w:rPr>
      <w:rFonts w:eastAsiaTheme="minorEastAsia" w:cs="Times New Roman"/>
      <w:sz w:val="20"/>
      <w:szCs w:val="20"/>
      <w:lang w:eastAsia="es-ES"/>
    </w:rPr>
  </w:style>
  <w:style w:type="character" w:customStyle="1" w:styleId="TextonotapieCar">
    <w:name w:val="Texto nota pie Car"/>
    <w:basedOn w:val="Fuentedeprrafopredeter"/>
    <w:link w:val="Textonotapie"/>
    <w:uiPriority w:val="99"/>
    <w:rsid w:val="00AB3766"/>
    <w:rPr>
      <w:rFonts w:eastAsiaTheme="minorEastAsia" w:cs="Times New Roman"/>
      <w:sz w:val="20"/>
      <w:szCs w:val="20"/>
      <w:lang w:eastAsia="es-ES"/>
    </w:rPr>
  </w:style>
  <w:style w:type="character" w:styleId="nfasissutil">
    <w:name w:val="Subtle Emphasis"/>
    <w:basedOn w:val="Fuentedeprrafopredeter"/>
    <w:uiPriority w:val="19"/>
    <w:qFormat/>
    <w:rsid w:val="00AB3766"/>
    <w:rPr>
      <w:i/>
      <w:iCs/>
    </w:rPr>
  </w:style>
  <w:style w:type="table" w:styleId="Sombreadomedio2-nfasis5">
    <w:name w:val="Medium Shading 2 Accent 5"/>
    <w:basedOn w:val="Tablanormal"/>
    <w:uiPriority w:val="64"/>
    <w:rsid w:val="00AB3766"/>
    <w:pPr>
      <w:spacing w:after="0" w:line="240" w:lineRule="auto"/>
    </w:pPr>
    <w:rPr>
      <w:rFonts w:eastAsiaTheme="minorEastAsia"/>
      <w:lang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nfasis">
    <w:name w:val="Emphasis"/>
    <w:basedOn w:val="Fuentedeprrafopredeter"/>
    <w:uiPriority w:val="20"/>
    <w:qFormat/>
    <w:rsid w:val="00604F96"/>
    <w:rPr>
      <w:i/>
      <w:iCs/>
    </w:rPr>
  </w:style>
  <w:style w:type="character" w:styleId="Hipervnculo">
    <w:name w:val="Hyperlink"/>
    <w:basedOn w:val="Fuentedeprrafopredeter"/>
    <w:uiPriority w:val="99"/>
    <w:unhideWhenUsed/>
    <w:rsid w:val="00F46986"/>
    <w:rPr>
      <w:color w:val="0000FF"/>
      <w:u w:val="single"/>
    </w:rPr>
  </w:style>
  <w:style w:type="table" w:styleId="Sombreadoclaro-nfasis1">
    <w:name w:val="Light Shading Accent 1"/>
    <w:basedOn w:val="Tablanormal"/>
    <w:uiPriority w:val="60"/>
    <w:rsid w:val="00655F1D"/>
    <w:pPr>
      <w:spacing w:after="0" w:line="240" w:lineRule="auto"/>
    </w:pPr>
    <w:rPr>
      <w:rFonts w:eastAsiaTheme="minorEastAsia"/>
      <w:color w:val="2E74B5" w:themeColor="accent1" w:themeShade="BF"/>
      <w:lang w:eastAsia="es-E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extodeglobo">
    <w:name w:val="Balloon Text"/>
    <w:basedOn w:val="Normal"/>
    <w:link w:val="TextodegloboCar"/>
    <w:uiPriority w:val="99"/>
    <w:semiHidden/>
    <w:unhideWhenUsed/>
    <w:rsid w:val="004929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291D"/>
    <w:rPr>
      <w:rFonts w:ascii="Segoe UI" w:hAnsi="Segoe UI" w:cs="Segoe UI"/>
      <w:sz w:val="18"/>
      <w:szCs w:val="18"/>
    </w:rPr>
  </w:style>
  <w:style w:type="paragraph" w:styleId="NormalWeb">
    <w:name w:val="Normal (Web)"/>
    <w:basedOn w:val="Normal"/>
    <w:uiPriority w:val="99"/>
    <w:semiHidden/>
    <w:unhideWhenUsed/>
    <w:rsid w:val="00DC203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4E1A69"/>
    <w:rPr>
      <w:color w:val="954F72" w:themeColor="followedHyperlink"/>
      <w:u w:val="single"/>
    </w:rPr>
  </w:style>
  <w:style w:type="character" w:customStyle="1" w:styleId="Ttulo1Car">
    <w:name w:val="Título 1 Car"/>
    <w:basedOn w:val="Fuentedeprrafopredeter"/>
    <w:link w:val="Ttulo1"/>
    <w:uiPriority w:val="9"/>
    <w:rsid w:val="00FE1D6E"/>
    <w:rPr>
      <w:rFonts w:ascii="Times New Roman" w:eastAsia="Times New Roman" w:hAnsi="Times New Roman" w:cs="Times New Roman"/>
      <w:b/>
      <w:bCs/>
      <w:kern w:val="36"/>
      <w:sz w:val="48"/>
      <w:szCs w:val="48"/>
      <w:lang w:eastAsia="es-ES"/>
    </w:rPr>
  </w:style>
  <w:style w:type="character" w:customStyle="1" w:styleId="authors">
    <w:name w:val="authors"/>
    <w:basedOn w:val="Fuentedeprrafopredeter"/>
    <w:rsid w:val="00FE1D6E"/>
  </w:style>
  <w:style w:type="paragraph" w:styleId="Encabezado">
    <w:name w:val="header"/>
    <w:basedOn w:val="Normal"/>
    <w:link w:val="EncabezadoCar"/>
    <w:uiPriority w:val="99"/>
    <w:unhideWhenUsed/>
    <w:rsid w:val="003631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31F5"/>
  </w:style>
  <w:style w:type="paragraph" w:styleId="Piedepgina">
    <w:name w:val="footer"/>
    <w:basedOn w:val="Normal"/>
    <w:link w:val="PiedepginaCar"/>
    <w:uiPriority w:val="99"/>
    <w:unhideWhenUsed/>
    <w:rsid w:val="003631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31F5"/>
  </w:style>
  <w:style w:type="character" w:customStyle="1" w:styleId="mi">
    <w:name w:val="mi"/>
    <w:basedOn w:val="Fuentedeprrafopredeter"/>
    <w:rsid w:val="0028536E"/>
  </w:style>
  <w:style w:type="character" w:customStyle="1" w:styleId="mn">
    <w:name w:val="mn"/>
    <w:basedOn w:val="Fuentedeprrafopredeter"/>
    <w:rsid w:val="0028536E"/>
  </w:style>
  <w:style w:type="character" w:customStyle="1" w:styleId="mjxassistivemathml">
    <w:name w:val="mjx_assistive_mathml"/>
    <w:basedOn w:val="Fuentedeprrafopredeter"/>
    <w:rsid w:val="0028536E"/>
  </w:style>
  <w:style w:type="paragraph" w:styleId="Revisin">
    <w:name w:val="Revision"/>
    <w:hidden/>
    <w:uiPriority w:val="99"/>
    <w:semiHidden/>
    <w:rsid w:val="004C0413"/>
    <w:pPr>
      <w:spacing w:after="0" w:line="240" w:lineRule="auto"/>
    </w:pPr>
  </w:style>
  <w:style w:type="character" w:customStyle="1" w:styleId="UnresolvedMention">
    <w:name w:val="Unresolved Mention"/>
    <w:basedOn w:val="Fuentedeprrafopredeter"/>
    <w:uiPriority w:val="99"/>
    <w:semiHidden/>
    <w:unhideWhenUsed/>
    <w:rsid w:val="00B76DC5"/>
    <w:rPr>
      <w:color w:val="605E5C"/>
      <w:shd w:val="clear" w:color="auto" w:fill="E1DFDD"/>
    </w:rPr>
  </w:style>
  <w:style w:type="character" w:styleId="Textoennegrita">
    <w:name w:val="Strong"/>
    <w:basedOn w:val="Fuentedeprrafopredeter"/>
    <w:uiPriority w:val="22"/>
    <w:qFormat/>
    <w:rsid w:val="00D72850"/>
    <w:rPr>
      <w:b/>
      <w:bCs/>
    </w:rPr>
  </w:style>
  <w:style w:type="character" w:customStyle="1" w:styleId="accordion-tabbedtab-mobile">
    <w:name w:val="accordion-tabbed__tab-mobile"/>
    <w:basedOn w:val="Fuentedeprrafopredeter"/>
    <w:rsid w:val="00D843F8"/>
  </w:style>
  <w:style w:type="character" w:customStyle="1" w:styleId="comma-separator">
    <w:name w:val="comma-separator"/>
    <w:basedOn w:val="Fuentedeprrafopredeter"/>
    <w:rsid w:val="00D843F8"/>
  </w:style>
  <w:style w:type="paragraph" w:customStyle="1" w:styleId="volume-issue">
    <w:name w:val="volume-issue"/>
    <w:basedOn w:val="Normal"/>
    <w:rsid w:val="00D843F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val">
    <w:name w:val="val"/>
    <w:basedOn w:val="Fuentedeprrafopredeter"/>
    <w:rsid w:val="00D843F8"/>
  </w:style>
  <w:style w:type="paragraph" w:customStyle="1" w:styleId="page-range">
    <w:name w:val="page-range"/>
    <w:basedOn w:val="Normal"/>
    <w:rsid w:val="00D843F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42586">
      <w:bodyDiv w:val="1"/>
      <w:marLeft w:val="0"/>
      <w:marRight w:val="0"/>
      <w:marTop w:val="0"/>
      <w:marBottom w:val="0"/>
      <w:divBdr>
        <w:top w:val="none" w:sz="0" w:space="0" w:color="auto"/>
        <w:left w:val="none" w:sz="0" w:space="0" w:color="auto"/>
        <w:bottom w:val="none" w:sz="0" w:space="0" w:color="auto"/>
        <w:right w:val="none" w:sz="0" w:space="0" w:color="auto"/>
      </w:divBdr>
      <w:divsChild>
        <w:div w:id="769815666">
          <w:marLeft w:val="0"/>
          <w:marRight w:val="0"/>
          <w:marTop w:val="0"/>
          <w:marBottom w:val="0"/>
          <w:divBdr>
            <w:top w:val="none" w:sz="0" w:space="0" w:color="auto"/>
            <w:left w:val="none" w:sz="0" w:space="0" w:color="auto"/>
            <w:bottom w:val="none" w:sz="0" w:space="0" w:color="auto"/>
            <w:right w:val="none" w:sz="0" w:space="0" w:color="auto"/>
          </w:divBdr>
        </w:div>
        <w:div w:id="1851916992">
          <w:marLeft w:val="0"/>
          <w:marRight w:val="0"/>
          <w:marTop w:val="0"/>
          <w:marBottom w:val="0"/>
          <w:divBdr>
            <w:top w:val="none" w:sz="0" w:space="0" w:color="auto"/>
            <w:left w:val="none" w:sz="0" w:space="0" w:color="auto"/>
            <w:bottom w:val="none" w:sz="0" w:space="0" w:color="auto"/>
            <w:right w:val="none" w:sz="0" w:space="0" w:color="auto"/>
          </w:divBdr>
        </w:div>
        <w:div w:id="1872184275">
          <w:marLeft w:val="0"/>
          <w:marRight w:val="0"/>
          <w:marTop w:val="0"/>
          <w:marBottom w:val="0"/>
          <w:divBdr>
            <w:top w:val="none" w:sz="0" w:space="0" w:color="auto"/>
            <w:left w:val="none" w:sz="0" w:space="0" w:color="auto"/>
            <w:bottom w:val="none" w:sz="0" w:space="0" w:color="auto"/>
            <w:right w:val="none" w:sz="0" w:space="0" w:color="auto"/>
          </w:divBdr>
        </w:div>
        <w:div w:id="2017228766">
          <w:marLeft w:val="0"/>
          <w:marRight w:val="0"/>
          <w:marTop w:val="0"/>
          <w:marBottom w:val="0"/>
          <w:divBdr>
            <w:top w:val="none" w:sz="0" w:space="0" w:color="auto"/>
            <w:left w:val="none" w:sz="0" w:space="0" w:color="auto"/>
            <w:bottom w:val="none" w:sz="0" w:space="0" w:color="auto"/>
            <w:right w:val="none" w:sz="0" w:space="0" w:color="auto"/>
          </w:divBdr>
        </w:div>
      </w:divsChild>
    </w:div>
    <w:div w:id="692075886">
      <w:bodyDiv w:val="1"/>
      <w:marLeft w:val="0"/>
      <w:marRight w:val="0"/>
      <w:marTop w:val="0"/>
      <w:marBottom w:val="0"/>
      <w:divBdr>
        <w:top w:val="none" w:sz="0" w:space="0" w:color="auto"/>
        <w:left w:val="none" w:sz="0" w:space="0" w:color="auto"/>
        <w:bottom w:val="none" w:sz="0" w:space="0" w:color="auto"/>
        <w:right w:val="none" w:sz="0" w:space="0" w:color="auto"/>
      </w:divBdr>
    </w:div>
    <w:div w:id="873156602">
      <w:bodyDiv w:val="1"/>
      <w:marLeft w:val="0"/>
      <w:marRight w:val="0"/>
      <w:marTop w:val="0"/>
      <w:marBottom w:val="0"/>
      <w:divBdr>
        <w:top w:val="none" w:sz="0" w:space="0" w:color="auto"/>
        <w:left w:val="none" w:sz="0" w:space="0" w:color="auto"/>
        <w:bottom w:val="none" w:sz="0" w:space="0" w:color="auto"/>
        <w:right w:val="none" w:sz="0" w:space="0" w:color="auto"/>
      </w:divBdr>
    </w:div>
    <w:div w:id="953825321">
      <w:bodyDiv w:val="1"/>
      <w:marLeft w:val="0"/>
      <w:marRight w:val="0"/>
      <w:marTop w:val="0"/>
      <w:marBottom w:val="0"/>
      <w:divBdr>
        <w:top w:val="none" w:sz="0" w:space="0" w:color="auto"/>
        <w:left w:val="none" w:sz="0" w:space="0" w:color="auto"/>
        <w:bottom w:val="none" w:sz="0" w:space="0" w:color="auto"/>
        <w:right w:val="none" w:sz="0" w:space="0" w:color="auto"/>
      </w:divBdr>
    </w:div>
    <w:div w:id="1145859387">
      <w:bodyDiv w:val="1"/>
      <w:marLeft w:val="0"/>
      <w:marRight w:val="0"/>
      <w:marTop w:val="0"/>
      <w:marBottom w:val="0"/>
      <w:divBdr>
        <w:top w:val="none" w:sz="0" w:space="0" w:color="auto"/>
        <w:left w:val="none" w:sz="0" w:space="0" w:color="auto"/>
        <w:bottom w:val="none" w:sz="0" w:space="0" w:color="auto"/>
        <w:right w:val="none" w:sz="0" w:space="0" w:color="auto"/>
      </w:divBdr>
    </w:div>
    <w:div w:id="1276059437">
      <w:bodyDiv w:val="1"/>
      <w:marLeft w:val="0"/>
      <w:marRight w:val="0"/>
      <w:marTop w:val="0"/>
      <w:marBottom w:val="0"/>
      <w:divBdr>
        <w:top w:val="none" w:sz="0" w:space="0" w:color="auto"/>
        <w:left w:val="none" w:sz="0" w:space="0" w:color="auto"/>
        <w:bottom w:val="none" w:sz="0" w:space="0" w:color="auto"/>
        <w:right w:val="none" w:sz="0" w:space="0" w:color="auto"/>
      </w:divBdr>
    </w:div>
    <w:div w:id="1549604754">
      <w:bodyDiv w:val="1"/>
      <w:marLeft w:val="0"/>
      <w:marRight w:val="0"/>
      <w:marTop w:val="0"/>
      <w:marBottom w:val="0"/>
      <w:divBdr>
        <w:top w:val="none" w:sz="0" w:space="0" w:color="auto"/>
        <w:left w:val="none" w:sz="0" w:space="0" w:color="auto"/>
        <w:bottom w:val="none" w:sz="0" w:space="0" w:color="auto"/>
        <w:right w:val="none" w:sz="0" w:space="0" w:color="auto"/>
      </w:divBdr>
    </w:div>
    <w:div w:id="1643072075">
      <w:bodyDiv w:val="1"/>
      <w:marLeft w:val="0"/>
      <w:marRight w:val="0"/>
      <w:marTop w:val="0"/>
      <w:marBottom w:val="0"/>
      <w:divBdr>
        <w:top w:val="none" w:sz="0" w:space="0" w:color="auto"/>
        <w:left w:val="none" w:sz="0" w:space="0" w:color="auto"/>
        <w:bottom w:val="none" w:sz="0" w:space="0" w:color="auto"/>
        <w:right w:val="none" w:sz="0" w:space="0" w:color="auto"/>
      </w:divBdr>
    </w:div>
    <w:div w:id="1998726528">
      <w:bodyDiv w:val="1"/>
      <w:marLeft w:val="0"/>
      <w:marRight w:val="0"/>
      <w:marTop w:val="0"/>
      <w:marBottom w:val="0"/>
      <w:divBdr>
        <w:top w:val="none" w:sz="0" w:space="0" w:color="auto"/>
        <w:left w:val="none" w:sz="0" w:space="0" w:color="auto"/>
        <w:bottom w:val="none" w:sz="0" w:space="0" w:color="auto"/>
        <w:right w:val="none" w:sz="0" w:space="0" w:color="auto"/>
      </w:divBdr>
    </w:div>
    <w:div w:id="213347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ipps.ucsd.edu/" TargetMode="External"/><Relationship Id="rId13" Type="http://schemas.openxmlformats.org/officeDocument/2006/relationships/hyperlink" Target="https://doi.org/10.1111/j.2153-3490.1976.tb00701.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172.24.36.135/node/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os-cp.eu/" TargetMode="External"/><Relationship Id="rId5" Type="http://schemas.openxmlformats.org/officeDocument/2006/relationships/webSettings" Target="webSettings.xml"/><Relationship Id="rId15" Type="http://schemas.openxmlformats.org/officeDocument/2006/relationships/hyperlink" Target="https://gml.noaa.gov/ccgg/trends/" TargetMode="External"/><Relationship Id="rId10" Type="http://schemas.openxmlformats.org/officeDocument/2006/relationships/hyperlink" Target="https://public.wmo.int/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ml.noaa.gov/ccgg/trends/data.html" TargetMode="External"/><Relationship Id="rId14" Type="http://schemas.openxmlformats.org/officeDocument/2006/relationships/hyperlink" Target="https://doi.org/10.1029/JD094iD06p0854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262FF-99A0-4FFB-8E9F-FF344145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4</Pages>
  <Words>1300</Words>
  <Characters>7151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Emilio Cuevas</cp:lastModifiedBy>
  <cp:revision>9</cp:revision>
  <cp:lastPrinted>2022-12-02T12:26:00Z</cp:lastPrinted>
  <dcterms:created xsi:type="dcterms:W3CDTF">2022-12-20T20:03:00Z</dcterms:created>
  <dcterms:modified xsi:type="dcterms:W3CDTF">2022-12-21T17:49:00Z</dcterms:modified>
</cp:coreProperties>
</file>